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E0F29D" w14:textId="77777777" w:rsidR="00512605" w:rsidRPr="00B96FF4" w:rsidRDefault="00A9173F" w:rsidP="00786683">
      <w:pPr>
        <w:spacing w:line="0" w:lineRule="atLeast"/>
        <w:jc w:val="center"/>
        <w:rPr>
          <w:rFonts w:asciiTheme="majorEastAsia" w:eastAsiaTheme="majorEastAsia" w:hAnsiTheme="majorEastAsia" w:cs="Meiryo UI"/>
          <w:b/>
          <w:sz w:val="24"/>
        </w:rPr>
      </w:pPr>
      <w:bookmarkStart w:id="0" w:name="_GoBack"/>
      <w:bookmarkEnd w:id="0"/>
      <w:r w:rsidRPr="00B96FF4">
        <w:rPr>
          <w:rFonts w:asciiTheme="majorEastAsia" w:eastAsiaTheme="majorEastAsia" w:hAnsiTheme="majorEastAsia" w:cs="Meiryo UI" w:hint="eastAsia"/>
          <w:b/>
          <w:sz w:val="24"/>
        </w:rPr>
        <w:t>「つみたてNISA</w:t>
      </w:r>
      <w:r w:rsidR="005908AA">
        <w:rPr>
          <w:rFonts w:asciiTheme="majorEastAsia" w:eastAsiaTheme="majorEastAsia" w:hAnsiTheme="majorEastAsia" w:cs="Meiryo UI" w:hint="eastAsia"/>
          <w:b/>
          <w:sz w:val="24"/>
        </w:rPr>
        <w:t>」</w:t>
      </w:r>
      <w:r w:rsidR="00297826">
        <w:rPr>
          <w:rFonts w:asciiTheme="majorEastAsia" w:eastAsiaTheme="majorEastAsia" w:hAnsiTheme="majorEastAsia" w:cs="Meiryo UI" w:hint="eastAsia"/>
          <w:b/>
          <w:sz w:val="24"/>
        </w:rPr>
        <w:t>対象ファンド</w:t>
      </w:r>
      <w:r w:rsidR="005908AA">
        <w:rPr>
          <w:rFonts w:asciiTheme="majorEastAsia" w:eastAsiaTheme="majorEastAsia" w:hAnsiTheme="majorEastAsia" w:cs="Meiryo UI" w:hint="eastAsia"/>
          <w:b/>
          <w:sz w:val="24"/>
        </w:rPr>
        <w:t>の選定理由について</w:t>
      </w:r>
    </w:p>
    <w:p w14:paraId="49C8519E" w14:textId="77777777" w:rsidR="00FA4CC3" w:rsidRDefault="00FA4CC3" w:rsidP="00E04628">
      <w:pPr>
        <w:spacing w:line="0" w:lineRule="atLeast"/>
        <w:rPr>
          <w:rFonts w:asciiTheme="majorEastAsia" w:eastAsiaTheme="majorEastAsia" w:hAnsiTheme="majorEastAsia" w:cs="Meiryo UI"/>
          <w:b/>
          <w:sz w:val="24"/>
        </w:rPr>
      </w:pPr>
    </w:p>
    <w:p w14:paraId="24EFF969" w14:textId="77777777" w:rsidR="006339BD" w:rsidRPr="005908AA" w:rsidRDefault="006339BD" w:rsidP="00E04628">
      <w:pPr>
        <w:spacing w:line="0" w:lineRule="atLeast"/>
        <w:rPr>
          <w:rFonts w:asciiTheme="majorEastAsia" w:eastAsiaTheme="majorEastAsia" w:hAnsiTheme="majorEastAsia" w:cs="Meiryo UI"/>
          <w:b/>
          <w:sz w:val="24"/>
        </w:rPr>
      </w:pPr>
    </w:p>
    <w:p w14:paraId="253FF0E9" w14:textId="7579B7AD" w:rsidR="00711559" w:rsidRPr="00B96FF4" w:rsidRDefault="004A4E06" w:rsidP="00E04628">
      <w:pPr>
        <w:spacing w:line="0" w:lineRule="atLeast"/>
        <w:rPr>
          <w:rFonts w:asciiTheme="majorEastAsia" w:eastAsiaTheme="majorEastAsia" w:hAnsiTheme="majorEastAsia" w:cs="Meiryo UI"/>
          <w:b/>
          <w:sz w:val="24"/>
        </w:rPr>
      </w:pPr>
      <w:r w:rsidRPr="00B96FF4">
        <w:rPr>
          <w:rFonts w:asciiTheme="majorEastAsia" w:eastAsiaTheme="majorEastAsia" w:hAnsiTheme="majorEastAsia" w:cs="Meiryo UI" w:hint="eastAsia"/>
          <w:b/>
          <w:sz w:val="24"/>
        </w:rPr>
        <w:t xml:space="preserve">１　</w:t>
      </w:r>
      <w:r w:rsidR="00711559" w:rsidRPr="00B96FF4">
        <w:rPr>
          <w:rFonts w:asciiTheme="majorEastAsia" w:eastAsiaTheme="majorEastAsia" w:hAnsiTheme="majorEastAsia" w:cs="Meiryo UI" w:hint="eastAsia"/>
          <w:b/>
          <w:sz w:val="24"/>
        </w:rPr>
        <w:t>「つみたてNISA」の制度概要</w:t>
      </w:r>
    </w:p>
    <w:p w14:paraId="2109E43A" w14:textId="0A62115D" w:rsidR="00711559" w:rsidRPr="00B96FF4" w:rsidRDefault="00711559" w:rsidP="00711559">
      <w:pPr>
        <w:spacing w:line="0" w:lineRule="atLeast"/>
        <w:ind w:firstLineChars="100" w:firstLine="240"/>
        <w:rPr>
          <w:rFonts w:asciiTheme="majorEastAsia" w:eastAsiaTheme="majorEastAsia" w:hAnsiTheme="majorEastAsia" w:cs="Meiryo UI"/>
          <w:sz w:val="24"/>
        </w:rPr>
      </w:pPr>
      <w:r w:rsidRPr="00B96FF4">
        <w:rPr>
          <w:rFonts w:asciiTheme="majorEastAsia" w:eastAsiaTheme="majorEastAsia" w:hAnsiTheme="majorEastAsia" w:cs="Meiryo UI" w:hint="eastAsia"/>
          <w:sz w:val="24"/>
        </w:rPr>
        <w:t>「つみたてNISA」については、20年の長期にわたる非課税メリットと長期・積立・分散投資の実現により、利用者の資産形成に資する制度内容となっています。</w:t>
      </w:r>
    </w:p>
    <w:tbl>
      <w:tblPr>
        <w:tblStyle w:val="a8"/>
        <w:tblW w:w="15417" w:type="dxa"/>
        <w:tblLook w:val="04A0" w:firstRow="1" w:lastRow="0" w:firstColumn="1" w:lastColumn="0" w:noHBand="0" w:noVBand="1"/>
      </w:tblPr>
      <w:tblGrid>
        <w:gridCol w:w="2802"/>
        <w:gridCol w:w="12615"/>
      </w:tblGrid>
      <w:tr w:rsidR="00B96FF4" w:rsidRPr="00B96FF4" w14:paraId="48E3E606" w14:textId="77777777" w:rsidTr="0046454F">
        <w:trPr>
          <w:trHeight w:val="259"/>
        </w:trPr>
        <w:tc>
          <w:tcPr>
            <w:tcW w:w="2802" w:type="dxa"/>
            <w:shd w:val="clear" w:color="auto" w:fill="BFBFBF" w:themeFill="background1" w:themeFillShade="BF"/>
            <w:vAlign w:val="center"/>
          </w:tcPr>
          <w:p w14:paraId="138546C9" w14:textId="77777777" w:rsidR="004A4E06" w:rsidRPr="00B96FF4" w:rsidRDefault="004A4E06" w:rsidP="00711559">
            <w:pPr>
              <w:spacing w:line="0" w:lineRule="atLeast"/>
              <w:jc w:val="center"/>
              <w:rPr>
                <w:rFonts w:asciiTheme="majorEastAsia" w:eastAsiaTheme="majorEastAsia" w:hAnsiTheme="majorEastAsia" w:cs="Meiryo UI"/>
                <w:sz w:val="22"/>
              </w:rPr>
            </w:pPr>
            <w:r w:rsidRPr="00B96FF4">
              <w:rPr>
                <w:rFonts w:asciiTheme="majorEastAsia" w:eastAsiaTheme="majorEastAsia" w:hAnsiTheme="majorEastAsia" w:cs="Meiryo UI" w:hint="eastAsia"/>
                <w:sz w:val="22"/>
              </w:rPr>
              <w:t>項目</w:t>
            </w:r>
          </w:p>
        </w:tc>
        <w:tc>
          <w:tcPr>
            <w:tcW w:w="12615" w:type="dxa"/>
            <w:shd w:val="clear" w:color="auto" w:fill="BFBFBF" w:themeFill="background1" w:themeFillShade="BF"/>
            <w:vAlign w:val="center"/>
          </w:tcPr>
          <w:p w14:paraId="7AF94BF5" w14:textId="49FFCD74" w:rsidR="004A4E06" w:rsidRPr="00B96FF4" w:rsidRDefault="004A4E06" w:rsidP="00711559">
            <w:pPr>
              <w:spacing w:line="0" w:lineRule="atLeast"/>
              <w:jc w:val="center"/>
              <w:rPr>
                <w:rFonts w:asciiTheme="majorEastAsia" w:eastAsiaTheme="majorEastAsia" w:hAnsiTheme="majorEastAsia" w:cs="Meiryo UI"/>
                <w:sz w:val="22"/>
              </w:rPr>
            </w:pPr>
            <w:r w:rsidRPr="00B96FF4">
              <w:rPr>
                <w:rFonts w:asciiTheme="majorEastAsia" w:eastAsiaTheme="majorEastAsia" w:hAnsiTheme="majorEastAsia" w:cs="Meiryo UI" w:hint="eastAsia"/>
                <w:sz w:val="22"/>
              </w:rPr>
              <w:t>内容</w:t>
            </w:r>
            <w:r w:rsidR="00C40EBA" w:rsidRPr="004533C8">
              <w:rPr>
                <w:rFonts w:asciiTheme="majorEastAsia" w:eastAsiaTheme="majorEastAsia" w:hAnsiTheme="majorEastAsia" w:cs="Meiryo UI" w:hint="eastAsia"/>
                <w:sz w:val="20"/>
                <w:szCs w:val="20"/>
              </w:rPr>
              <w:t>※</w:t>
            </w:r>
          </w:p>
        </w:tc>
      </w:tr>
      <w:tr w:rsidR="00B96FF4" w:rsidRPr="00B96FF4" w14:paraId="6A8C30BA" w14:textId="77777777" w:rsidTr="0046454F">
        <w:trPr>
          <w:trHeight w:val="377"/>
        </w:trPr>
        <w:tc>
          <w:tcPr>
            <w:tcW w:w="2802" w:type="dxa"/>
            <w:vAlign w:val="center"/>
          </w:tcPr>
          <w:p w14:paraId="69FC3CEF" w14:textId="77777777" w:rsidR="004A4E06" w:rsidRPr="00B96FF4" w:rsidRDefault="00750DC7" w:rsidP="004A4E06">
            <w:pPr>
              <w:spacing w:line="0" w:lineRule="atLeast"/>
              <w:rPr>
                <w:rFonts w:asciiTheme="majorEastAsia" w:eastAsiaTheme="majorEastAsia" w:hAnsiTheme="majorEastAsia" w:cs="Meiryo UI"/>
                <w:sz w:val="22"/>
              </w:rPr>
            </w:pPr>
            <w:r>
              <w:rPr>
                <w:rFonts w:asciiTheme="majorEastAsia" w:eastAsiaTheme="majorEastAsia" w:hAnsiTheme="majorEastAsia" w:cs="Meiryo UI" w:hint="eastAsia"/>
                <w:sz w:val="22"/>
              </w:rPr>
              <w:t>投資</w:t>
            </w:r>
            <w:r w:rsidR="000D1E1C">
              <w:rPr>
                <w:rFonts w:asciiTheme="majorEastAsia" w:eastAsiaTheme="majorEastAsia" w:hAnsiTheme="majorEastAsia" w:cs="Meiryo UI" w:hint="eastAsia"/>
                <w:sz w:val="22"/>
              </w:rPr>
              <w:t>上限</w:t>
            </w:r>
            <w:r>
              <w:rPr>
                <w:rFonts w:asciiTheme="majorEastAsia" w:eastAsiaTheme="majorEastAsia" w:hAnsiTheme="majorEastAsia" w:cs="Meiryo UI" w:hint="eastAsia"/>
                <w:sz w:val="22"/>
              </w:rPr>
              <w:t>額</w:t>
            </w:r>
          </w:p>
        </w:tc>
        <w:tc>
          <w:tcPr>
            <w:tcW w:w="12615" w:type="dxa"/>
            <w:vAlign w:val="center"/>
          </w:tcPr>
          <w:p w14:paraId="0CBA84FA" w14:textId="3B143C3F" w:rsidR="004A4E06" w:rsidRPr="00B96FF4" w:rsidRDefault="00FF17DB" w:rsidP="004A4E06">
            <w:pPr>
              <w:spacing w:line="0" w:lineRule="atLeast"/>
              <w:rPr>
                <w:rFonts w:asciiTheme="majorEastAsia" w:eastAsiaTheme="majorEastAsia" w:hAnsiTheme="majorEastAsia" w:cs="Meiryo UI"/>
                <w:sz w:val="22"/>
              </w:rPr>
            </w:pPr>
            <w:r>
              <w:rPr>
                <w:rFonts w:asciiTheme="majorEastAsia" w:eastAsiaTheme="majorEastAsia" w:hAnsiTheme="majorEastAsia" w:cs="Meiryo UI" w:hint="eastAsia"/>
                <w:sz w:val="22"/>
              </w:rPr>
              <w:t>年間</w:t>
            </w:r>
            <w:r w:rsidR="004A4E06" w:rsidRPr="00B96FF4">
              <w:rPr>
                <w:rFonts w:asciiTheme="majorEastAsia" w:eastAsiaTheme="majorEastAsia" w:hAnsiTheme="majorEastAsia" w:cs="Meiryo UI" w:hint="eastAsia"/>
                <w:sz w:val="22"/>
              </w:rPr>
              <w:t>40</w:t>
            </w:r>
            <w:r w:rsidR="00750DC7">
              <w:rPr>
                <w:rFonts w:asciiTheme="majorEastAsia" w:eastAsiaTheme="majorEastAsia" w:hAnsiTheme="majorEastAsia" w:cs="Meiryo UI" w:hint="eastAsia"/>
                <w:sz w:val="22"/>
              </w:rPr>
              <w:t>万円（非課税投資枠　最</w:t>
            </w:r>
            <w:r w:rsidR="00750DC7" w:rsidRPr="00AD4180">
              <w:rPr>
                <w:rFonts w:asciiTheme="majorEastAsia" w:eastAsiaTheme="majorEastAsia" w:hAnsiTheme="majorEastAsia" w:cs="Meiryo UI" w:hint="eastAsia"/>
                <w:sz w:val="22"/>
              </w:rPr>
              <w:t>大</w:t>
            </w:r>
            <w:r w:rsidR="00AD4180" w:rsidRPr="00AD4180">
              <w:rPr>
                <w:rFonts w:asciiTheme="majorEastAsia" w:eastAsiaTheme="majorEastAsia" w:hAnsiTheme="majorEastAsia" w:cs="Meiryo UI" w:hint="eastAsia"/>
                <w:sz w:val="22"/>
              </w:rPr>
              <w:t>8</w:t>
            </w:r>
            <w:r w:rsidR="004A4E06" w:rsidRPr="00AD4180">
              <w:rPr>
                <w:rFonts w:asciiTheme="majorEastAsia" w:eastAsiaTheme="majorEastAsia" w:hAnsiTheme="majorEastAsia" w:cs="Meiryo UI" w:hint="eastAsia"/>
                <w:sz w:val="22"/>
              </w:rPr>
              <w:t>00</w:t>
            </w:r>
            <w:r w:rsidR="004A4E06" w:rsidRPr="00B96FF4">
              <w:rPr>
                <w:rFonts w:asciiTheme="majorEastAsia" w:eastAsiaTheme="majorEastAsia" w:hAnsiTheme="majorEastAsia" w:cs="Meiryo UI" w:hint="eastAsia"/>
                <w:sz w:val="22"/>
              </w:rPr>
              <w:t>万円）</w:t>
            </w:r>
          </w:p>
        </w:tc>
      </w:tr>
      <w:tr w:rsidR="00B96FF4" w:rsidRPr="00B96FF4" w14:paraId="168E44F8" w14:textId="77777777" w:rsidTr="0046454F">
        <w:trPr>
          <w:trHeight w:val="411"/>
        </w:trPr>
        <w:tc>
          <w:tcPr>
            <w:tcW w:w="2802" w:type="dxa"/>
            <w:vAlign w:val="center"/>
          </w:tcPr>
          <w:p w14:paraId="1F363B78" w14:textId="77777777" w:rsidR="004A4E06" w:rsidRPr="00B96FF4" w:rsidRDefault="000D1E1C" w:rsidP="004A4E06">
            <w:pPr>
              <w:spacing w:line="0" w:lineRule="atLeast"/>
              <w:rPr>
                <w:rFonts w:asciiTheme="majorEastAsia" w:eastAsiaTheme="majorEastAsia" w:hAnsiTheme="majorEastAsia" w:cs="Meiryo UI"/>
                <w:sz w:val="22"/>
              </w:rPr>
            </w:pPr>
            <w:r>
              <w:rPr>
                <w:rFonts w:asciiTheme="majorEastAsia" w:eastAsiaTheme="majorEastAsia" w:hAnsiTheme="majorEastAsia" w:cs="Meiryo UI" w:hint="eastAsia"/>
                <w:sz w:val="22"/>
              </w:rPr>
              <w:t>非課税</w:t>
            </w:r>
            <w:r w:rsidR="004A4E06" w:rsidRPr="00B96FF4">
              <w:rPr>
                <w:rFonts w:asciiTheme="majorEastAsia" w:eastAsiaTheme="majorEastAsia" w:hAnsiTheme="majorEastAsia" w:cs="Meiryo UI" w:hint="eastAsia"/>
                <w:sz w:val="22"/>
              </w:rPr>
              <w:t>期間</w:t>
            </w:r>
          </w:p>
        </w:tc>
        <w:tc>
          <w:tcPr>
            <w:tcW w:w="12615" w:type="dxa"/>
            <w:vAlign w:val="center"/>
          </w:tcPr>
          <w:p w14:paraId="7E9433A5" w14:textId="12FA2F42" w:rsidR="004A4E06" w:rsidRPr="00B96FF4" w:rsidRDefault="004A4E06" w:rsidP="004A4E06">
            <w:pPr>
              <w:spacing w:line="0" w:lineRule="atLeast"/>
              <w:rPr>
                <w:rFonts w:asciiTheme="majorEastAsia" w:eastAsiaTheme="majorEastAsia" w:hAnsiTheme="majorEastAsia" w:cs="Meiryo UI"/>
                <w:sz w:val="22"/>
              </w:rPr>
            </w:pPr>
            <w:r w:rsidRPr="00B96FF4">
              <w:rPr>
                <w:rFonts w:asciiTheme="majorEastAsia" w:eastAsiaTheme="majorEastAsia" w:hAnsiTheme="majorEastAsia" w:cs="Meiryo UI" w:hint="eastAsia"/>
                <w:sz w:val="22"/>
              </w:rPr>
              <w:t>最長</w:t>
            </w:r>
            <w:r w:rsidR="001E0BFE" w:rsidRPr="00AD4180">
              <w:rPr>
                <w:rFonts w:asciiTheme="majorEastAsia" w:eastAsiaTheme="majorEastAsia" w:hAnsiTheme="majorEastAsia" w:cs="Meiryo UI" w:hint="eastAsia"/>
                <w:sz w:val="22"/>
              </w:rPr>
              <w:t>2</w:t>
            </w:r>
            <w:r w:rsidR="00AD4180" w:rsidRPr="00AD4180">
              <w:rPr>
                <w:rFonts w:asciiTheme="majorEastAsia" w:eastAsiaTheme="majorEastAsia" w:hAnsiTheme="majorEastAsia" w:cs="Meiryo UI" w:hint="eastAsia"/>
                <w:sz w:val="22"/>
              </w:rPr>
              <w:t>0</w:t>
            </w:r>
            <w:r w:rsidRPr="00B96FF4">
              <w:rPr>
                <w:rFonts w:asciiTheme="majorEastAsia" w:eastAsiaTheme="majorEastAsia" w:hAnsiTheme="majorEastAsia" w:cs="Meiryo UI" w:hint="eastAsia"/>
                <w:sz w:val="22"/>
              </w:rPr>
              <w:t>年間</w:t>
            </w:r>
          </w:p>
        </w:tc>
      </w:tr>
      <w:tr w:rsidR="00B96FF4" w:rsidRPr="00C40EBA" w14:paraId="5C193798" w14:textId="77777777" w:rsidTr="0046454F">
        <w:trPr>
          <w:trHeight w:val="417"/>
        </w:trPr>
        <w:tc>
          <w:tcPr>
            <w:tcW w:w="2802" w:type="dxa"/>
            <w:vAlign w:val="center"/>
          </w:tcPr>
          <w:p w14:paraId="6AF893AA" w14:textId="77777777" w:rsidR="004A4E06" w:rsidRPr="00C40EBA" w:rsidRDefault="004A4E06" w:rsidP="004A4E06">
            <w:pPr>
              <w:spacing w:line="0" w:lineRule="atLeast"/>
              <w:rPr>
                <w:rFonts w:asciiTheme="majorEastAsia" w:eastAsiaTheme="majorEastAsia" w:hAnsiTheme="majorEastAsia" w:cs="Meiryo UI"/>
                <w:sz w:val="22"/>
              </w:rPr>
            </w:pPr>
            <w:r w:rsidRPr="00C40EBA">
              <w:rPr>
                <w:rFonts w:asciiTheme="majorEastAsia" w:eastAsiaTheme="majorEastAsia" w:hAnsiTheme="majorEastAsia" w:cs="Meiryo UI" w:hint="eastAsia"/>
                <w:sz w:val="22"/>
              </w:rPr>
              <w:t>投資可能期間</w:t>
            </w:r>
          </w:p>
        </w:tc>
        <w:tc>
          <w:tcPr>
            <w:tcW w:w="12615" w:type="dxa"/>
            <w:vAlign w:val="center"/>
          </w:tcPr>
          <w:p w14:paraId="5D45DC17" w14:textId="45D55D47" w:rsidR="004A4E06" w:rsidRPr="00C40EBA" w:rsidRDefault="00140CDC" w:rsidP="00140CDC">
            <w:pPr>
              <w:spacing w:line="0" w:lineRule="atLeast"/>
              <w:rPr>
                <w:rFonts w:asciiTheme="majorEastAsia" w:eastAsiaTheme="majorEastAsia" w:hAnsiTheme="majorEastAsia" w:cs="Meiryo UI"/>
                <w:sz w:val="22"/>
              </w:rPr>
            </w:pPr>
            <w:r w:rsidRPr="00C40EBA">
              <w:rPr>
                <w:rFonts w:asciiTheme="majorEastAsia" w:eastAsiaTheme="majorEastAsia" w:hAnsiTheme="majorEastAsia" w:cs="Meiryo UI" w:hint="eastAsia"/>
                <w:sz w:val="22"/>
              </w:rPr>
              <w:t>2018</w:t>
            </w:r>
            <w:r w:rsidR="00711559" w:rsidRPr="00C40EBA">
              <w:rPr>
                <w:rFonts w:asciiTheme="majorEastAsia" w:eastAsiaTheme="majorEastAsia" w:hAnsiTheme="majorEastAsia" w:cs="Meiryo UI" w:hint="eastAsia"/>
                <w:sz w:val="22"/>
              </w:rPr>
              <w:t>年から</w:t>
            </w:r>
            <w:r w:rsidRPr="00C40EBA">
              <w:rPr>
                <w:rFonts w:asciiTheme="majorEastAsia" w:eastAsiaTheme="majorEastAsia" w:hAnsiTheme="majorEastAsia" w:cs="Meiryo UI" w:hint="eastAsia"/>
                <w:sz w:val="22"/>
              </w:rPr>
              <w:t>20</w:t>
            </w:r>
            <w:r w:rsidR="001E0BFE" w:rsidRPr="00C40EBA">
              <w:rPr>
                <w:rFonts w:asciiTheme="majorEastAsia" w:eastAsiaTheme="majorEastAsia" w:hAnsiTheme="majorEastAsia" w:cs="Meiryo UI" w:hint="eastAsia"/>
                <w:sz w:val="22"/>
              </w:rPr>
              <w:t>42</w:t>
            </w:r>
            <w:r w:rsidR="00711559" w:rsidRPr="00C40EBA">
              <w:rPr>
                <w:rFonts w:asciiTheme="majorEastAsia" w:eastAsiaTheme="majorEastAsia" w:hAnsiTheme="majorEastAsia" w:cs="Meiryo UI" w:hint="eastAsia"/>
                <w:sz w:val="22"/>
              </w:rPr>
              <w:t>年</w:t>
            </w:r>
          </w:p>
        </w:tc>
      </w:tr>
      <w:tr w:rsidR="004A4E06" w:rsidRPr="00C40EBA" w14:paraId="6565E2F4" w14:textId="77777777" w:rsidTr="0046454F">
        <w:trPr>
          <w:trHeight w:val="423"/>
        </w:trPr>
        <w:tc>
          <w:tcPr>
            <w:tcW w:w="2802" w:type="dxa"/>
            <w:vAlign w:val="center"/>
          </w:tcPr>
          <w:p w14:paraId="4E76A8DF" w14:textId="77777777" w:rsidR="004A4E06" w:rsidRPr="00C40EBA" w:rsidRDefault="004A4E06" w:rsidP="004A4E06">
            <w:pPr>
              <w:spacing w:line="0" w:lineRule="atLeast"/>
              <w:rPr>
                <w:rFonts w:asciiTheme="majorEastAsia" w:eastAsiaTheme="majorEastAsia" w:hAnsiTheme="majorEastAsia" w:cs="Meiryo UI"/>
                <w:sz w:val="22"/>
              </w:rPr>
            </w:pPr>
            <w:r w:rsidRPr="00C40EBA">
              <w:rPr>
                <w:rFonts w:asciiTheme="majorEastAsia" w:eastAsiaTheme="majorEastAsia" w:hAnsiTheme="majorEastAsia" w:cs="Meiryo UI" w:hint="eastAsia"/>
                <w:sz w:val="22"/>
              </w:rPr>
              <w:t>投資対象商品</w:t>
            </w:r>
          </w:p>
        </w:tc>
        <w:tc>
          <w:tcPr>
            <w:tcW w:w="12615" w:type="dxa"/>
            <w:vAlign w:val="center"/>
          </w:tcPr>
          <w:p w14:paraId="39394702" w14:textId="2779AC9E" w:rsidR="004A4E06" w:rsidRPr="00C40EBA" w:rsidRDefault="00661783" w:rsidP="004A4E06">
            <w:pPr>
              <w:spacing w:line="0" w:lineRule="atLeast"/>
              <w:rPr>
                <w:rFonts w:asciiTheme="majorEastAsia" w:eastAsiaTheme="majorEastAsia" w:hAnsiTheme="majorEastAsia" w:cs="Meiryo UI"/>
                <w:sz w:val="22"/>
              </w:rPr>
            </w:pPr>
            <w:r w:rsidRPr="00C40EBA">
              <w:rPr>
                <w:rFonts w:asciiTheme="majorEastAsia" w:eastAsiaTheme="majorEastAsia" w:hAnsiTheme="majorEastAsia" w:cs="Meiryo UI" w:hint="eastAsia"/>
                <w:sz w:val="22"/>
              </w:rPr>
              <w:t>長期の積立・分散投資に適した一定の公募</w:t>
            </w:r>
            <w:r w:rsidR="00711559" w:rsidRPr="00C40EBA">
              <w:rPr>
                <w:rFonts w:asciiTheme="majorEastAsia" w:eastAsiaTheme="majorEastAsia" w:hAnsiTheme="majorEastAsia" w:cs="Meiryo UI" w:hint="eastAsia"/>
                <w:sz w:val="22"/>
              </w:rPr>
              <w:t>株式投資信託等（信託</w:t>
            </w:r>
            <w:r w:rsidR="00CA2B10" w:rsidRPr="00C40EBA">
              <w:rPr>
                <w:rFonts w:asciiTheme="majorEastAsia" w:eastAsiaTheme="majorEastAsia" w:hAnsiTheme="majorEastAsia" w:cs="Meiryo UI" w:hint="eastAsia"/>
                <w:sz w:val="22"/>
              </w:rPr>
              <w:t>契約</w:t>
            </w:r>
            <w:r w:rsidR="00711559" w:rsidRPr="00C40EBA">
              <w:rPr>
                <w:rFonts w:asciiTheme="majorEastAsia" w:eastAsiaTheme="majorEastAsia" w:hAnsiTheme="majorEastAsia" w:cs="Meiryo UI" w:hint="eastAsia"/>
                <w:sz w:val="22"/>
              </w:rPr>
              <w:t>期間20年以上、非毎月分配型ファンド等）</w:t>
            </w:r>
          </w:p>
        </w:tc>
      </w:tr>
      <w:tr w:rsidR="0033432B" w:rsidRPr="00C40EBA" w14:paraId="594623E4" w14:textId="77777777" w:rsidTr="0046454F">
        <w:trPr>
          <w:trHeight w:val="423"/>
        </w:trPr>
        <w:tc>
          <w:tcPr>
            <w:tcW w:w="2802" w:type="dxa"/>
            <w:vAlign w:val="center"/>
          </w:tcPr>
          <w:p w14:paraId="10C09292" w14:textId="77777777" w:rsidR="0033432B" w:rsidRPr="00C40EBA" w:rsidRDefault="0033432B" w:rsidP="004A4E06">
            <w:pPr>
              <w:spacing w:line="0" w:lineRule="atLeast"/>
              <w:rPr>
                <w:rFonts w:asciiTheme="majorEastAsia" w:eastAsiaTheme="majorEastAsia" w:hAnsiTheme="majorEastAsia" w:cs="Meiryo UI"/>
                <w:sz w:val="22"/>
              </w:rPr>
            </w:pPr>
            <w:r w:rsidRPr="00C40EBA">
              <w:rPr>
                <w:rFonts w:asciiTheme="majorEastAsia" w:eastAsiaTheme="majorEastAsia" w:hAnsiTheme="majorEastAsia" w:cs="Meiryo UI" w:hint="eastAsia"/>
                <w:sz w:val="22"/>
              </w:rPr>
              <w:t>申込手数料</w:t>
            </w:r>
          </w:p>
        </w:tc>
        <w:tc>
          <w:tcPr>
            <w:tcW w:w="12615" w:type="dxa"/>
            <w:vAlign w:val="center"/>
          </w:tcPr>
          <w:p w14:paraId="46C39C0B" w14:textId="75172FEE" w:rsidR="0033432B" w:rsidRPr="00C40EBA" w:rsidRDefault="0033432B" w:rsidP="004A4E06">
            <w:pPr>
              <w:spacing w:line="0" w:lineRule="atLeast"/>
              <w:rPr>
                <w:rFonts w:asciiTheme="majorEastAsia" w:eastAsiaTheme="majorEastAsia" w:hAnsiTheme="majorEastAsia" w:cs="Meiryo UI"/>
                <w:sz w:val="22"/>
              </w:rPr>
            </w:pPr>
            <w:r w:rsidRPr="00C40EBA">
              <w:rPr>
                <w:rFonts w:asciiTheme="majorEastAsia" w:eastAsiaTheme="majorEastAsia" w:hAnsiTheme="majorEastAsia" w:cs="Meiryo UI" w:hint="eastAsia"/>
                <w:sz w:val="22"/>
              </w:rPr>
              <w:t>なし</w:t>
            </w:r>
          </w:p>
        </w:tc>
      </w:tr>
    </w:tbl>
    <w:p w14:paraId="72DBD01F" w14:textId="662BBE81" w:rsidR="00234FC3" w:rsidRPr="00C40EBA" w:rsidRDefault="00C40EBA" w:rsidP="00E04628">
      <w:pPr>
        <w:spacing w:line="0" w:lineRule="atLeast"/>
        <w:rPr>
          <w:rFonts w:asciiTheme="majorEastAsia" w:eastAsiaTheme="majorEastAsia" w:hAnsiTheme="majorEastAsia" w:cs="Meiryo UI"/>
          <w:sz w:val="22"/>
        </w:rPr>
      </w:pPr>
      <w:r w:rsidRPr="00C40EBA">
        <w:rPr>
          <w:rFonts w:asciiTheme="majorEastAsia" w:eastAsiaTheme="majorEastAsia" w:hAnsiTheme="majorEastAsia" w:cs="Meiryo UI" w:hint="eastAsia"/>
          <w:bCs/>
          <w:sz w:val="20"/>
          <w:szCs w:val="20"/>
        </w:rPr>
        <w:t>※制度改正により内容が変更</w:t>
      </w:r>
      <w:r w:rsidR="00525178">
        <w:rPr>
          <w:rFonts w:asciiTheme="majorEastAsia" w:eastAsiaTheme="majorEastAsia" w:hAnsiTheme="majorEastAsia" w:cs="Meiryo UI" w:hint="eastAsia"/>
          <w:bCs/>
          <w:sz w:val="20"/>
          <w:szCs w:val="20"/>
        </w:rPr>
        <w:t>となる</w:t>
      </w:r>
      <w:r w:rsidRPr="00C40EBA">
        <w:rPr>
          <w:rFonts w:asciiTheme="majorEastAsia" w:eastAsiaTheme="majorEastAsia" w:hAnsiTheme="majorEastAsia" w:cs="Meiryo UI" w:hint="eastAsia"/>
          <w:bCs/>
          <w:sz w:val="20"/>
          <w:szCs w:val="20"/>
        </w:rPr>
        <w:t>場合がございます。最新の制度概要は、店舗までお問合せください。</w:t>
      </w:r>
    </w:p>
    <w:p w14:paraId="5078D137" w14:textId="77777777" w:rsidR="00985807" w:rsidRPr="00F11FA8" w:rsidRDefault="00985807" w:rsidP="00E04628">
      <w:pPr>
        <w:spacing w:line="0" w:lineRule="atLeast"/>
        <w:rPr>
          <w:rFonts w:asciiTheme="majorEastAsia" w:eastAsiaTheme="majorEastAsia" w:hAnsiTheme="majorEastAsia" w:cs="Meiryo UI"/>
          <w:color w:val="C00000"/>
          <w:sz w:val="22"/>
        </w:rPr>
      </w:pPr>
    </w:p>
    <w:p w14:paraId="75CC1D7C" w14:textId="4C8D5C39" w:rsidR="00A9173F" w:rsidRPr="00B96FF4" w:rsidRDefault="00711559" w:rsidP="00E04628">
      <w:pPr>
        <w:spacing w:line="0" w:lineRule="atLeast"/>
        <w:rPr>
          <w:rFonts w:asciiTheme="majorEastAsia" w:eastAsiaTheme="majorEastAsia" w:hAnsiTheme="majorEastAsia" w:cs="Meiryo UI"/>
          <w:b/>
          <w:sz w:val="24"/>
        </w:rPr>
      </w:pPr>
      <w:r w:rsidRPr="00B96FF4">
        <w:rPr>
          <w:rFonts w:asciiTheme="majorEastAsia" w:eastAsiaTheme="majorEastAsia" w:hAnsiTheme="majorEastAsia" w:cs="Meiryo UI" w:hint="eastAsia"/>
          <w:b/>
          <w:sz w:val="24"/>
        </w:rPr>
        <w:t>２</w:t>
      </w:r>
      <w:r w:rsidR="00A9173F" w:rsidRPr="00B96FF4">
        <w:rPr>
          <w:rFonts w:asciiTheme="majorEastAsia" w:eastAsiaTheme="majorEastAsia" w:hAnsiTheme="majorEastAsia" w:cs="Meiryo UI" w:hint="eastAsia"/>
          <w:b/>
          <w:sz w:val="24"/>
        </w:rPr>
        <w:t xml:space="preserve">　</w:t>
      </w:r>
      <w:r w:rsidR="00FA4CC3" w:rsidRPr="00B96FF4">
        <w:rPr>
          <w:rFonts w:asciiTheme="majorEastAsia" w:eastAsiaTheme="majorEastAsia" w:hAnsiTheme="majorEastAsia" w:cs="Meiryo UI" w:hint="eastAsia"/>
          <w:b/>
          <w:sz w:val="24"/>
        </w:rPr>
        <w:t>ＪＡ</w:t>
      </w:r>
      <w:r w:rsidR="00A9173F" w:rsidRPr="00B96FF4">
        <w:rPr>
          <w:rFonts w:asciiTheme="majorEastAsia" w:eastAsiaTheme="majorEastAsia" w:hAnsiTheme="majorEastAsia" w:cs="Meiryo UI" w:hint="eastAsia"/>
          <w:b/>
          <w:sz w:val="24"/>
        </w:rPr>
        <w:t>バンクにおける「つみたてNISA</w:t>
      </w:r>
      <w:r w:rsidR="002C7A52" w:rsidRPr="00B96FF4">
        <w:rPr>
          <w:rFonts w:asciiTheme="majorEastAsia" w:eastAsiaTheme="majorEastAsia" w:hAnsiTheme="majorEastAsia" w:cs="Meiryo UI" w:hint="eastAsia"/>
          <w:b/>
          <w:sz w:val="24"/>
        </w:rPr>
        <w:t>」導入</w:t>
      </w:r>
      <w:r w:rsidR="00A9173F" w:rsidRPr="00B96FF4">
        <w:rPr>
          <w:rFonts w:asciiTheme="majorEastAsia" w:eastAsiaTheme="majorEastAsia" w:hAnsiTheme="majorEastAsia" w:cs="Meiryo UI" w:hint="eastAsia"/>
          <w:b/>
          <w:sz w:val="24"/>
        </w:rPr>
        <w:t>ファンド</w:t>
      </w:r>
    </w:p>
    <w:p w14:paraId="3294115D" w14:textId="39210F20" w:rsidR="00F352D6" w:rsidRPr="00B96FF4" w:rsidRDefault="00FA4CC3" w:rsidP="00FA4CC3">
      <w:pPr>
        <w:spacing w:line="0" w:lineRule="atLeast"/>
        <w:ind w:firstLineChars="100" w:firstLine="240"/>
        <w:rPr>
          <w:rFonts w:asciiTheme="majorEastAsia" w:eastAsiaTheme="majorEastAsia" w:hAnsiTheme="majorEastAsia" w:cs="Meiryo UI"/>
          <w:sz w:val="24"/>
        </w:rPr>
      </w:pPr>
      <w:r w:rsidRPr="00B96FF4">
        <w:rPr>
          <w:rFonts w:asciiTheme="majorEastAsia" w:eastAsiaTheme="majorEastAsia" w:hAnsiTheme="majorEastAsia" w:cs="Meiryo UI" w:hint="eastAsia"/>
          <w:sz w:val="24"/>
        </w:rPr>
        <w:t>ＪＡ</w:t>
      </w:r>
      <w:r w:rsidR="00E04628" w:rsidRPr="00B96FF4">
        <w:rPr>
          <w:rFonts w:asciiTheme="majorEastAsia" w:eastAsiaTheme="majorEastAsia" w:hAnsiTheme="majorEastAsia" w:cs="Meiryo UI" w:hint="eastAsia"/>
          <w:sz w:val="24"/>
        </w:rPr>
        <w:t>バンクにおいては、「つみたてNISA</w:t>
      </w:r>
      <w:r w:rsidR="00063B78">
        <w:rPr>
          <w:rFonts w:asciiTheme="majorEastAsia" w:eastAsiaTheme="majorEastAsia" w:hAnsiTheme="majorEastAsia" w:cs="Meiryo UI" w:hint="eastAsia"/>
          <w:sz w:val="24"/>
        </w:rPr>
        <w:t>」対象</w:t>
      </w:r>
      <w:r w:rsidR="00E04628" w:rsidRPr="00B96FF4">
        <w:rPr>
          <w:rFonts w:asciiTheme="majorEastAsia" w:eastAsiaTheme="majorEastAsia" w:hAnsiTheme="majorEastAsia" w:cs="Meiryo UI" w:hint="eastAsia"/>
          <w:sz w:val="24"/>
        </w:rPr>
        <w:t>ファンドとして</w:t>
      </w:r>
      <w:r w:rsidR="008A3326" w:rsidRPr="00B96FF4">
        <w:rPr>
          <w:rFonts w:asciiTheme="majorEastAsia" w:eastAsiaTheme="majorEastAsia" w:hAnsiTheme="majorEastAsia" w:cs="Meiryo UI" w:hint="eastAsia"/>
          <w:sz w:val="24"/>
        </w:rPr>
        <w:t>以下</w:t>
      </w:r>
      <w:r w:rsidR="00B76C62">
        <w:rPr>
          <w:rFonts w:asciiTheme="majorEastAsia" w:eastAsiaTheme="majorEastAsia" w:hAnsiTheme="majorEastAsia" w:cs="Meiryo UI" w:hint="eastAsia"/>
          <w:sz w:val="24"/>
        </w:rPr>
        <w:t>４</w:t>
      </w:r>
      <w:r w:rsidR="00DA3B18" w:rsidRPr="00B96FF4">
        <w:rPr>
          <w:rFonts w:asciiTheme="majorEastAsia" w:eastAsiaTheme="majorEastAsia" w:hAnsiTheme="majorEastAsia" w:cs="Meiryo UI" w:hint="eastAsia"/>
          <w:sz w:val="24"/>
        </w:rPr>
        <w:t>ファンドを</w:t>
      </w:r>
      <w:r w:rsidR="00E04628" w:rsidRPr="00B96FF4">
        <w:rPr>
          <w:rFonts w:asciiTheme="majorEastAsia" w:eastAsiaTheme="majorEastAsia" w:hAnsiTheme="majorEastAsia" w:cs="Meiryo UI" w:hint="eastAsia"/>
          <w:sz w:val="24"/>
        </w:rPr>
        <w:t>導入いたします。</w:t>
      </w:r>
    </w:p>
    <w:tbl>
      <w:tblPr>
        <w:tblStyle w:val="a8"/>
        <w:tblW w:w="15417" w:type="dxa"/>
        <w:tblLook w:val="04A0" w:firstRow="1" w:lastRow="0" w:firstColumn="1" w:lastColumn="0" w:noHBand="0" w:noVBand="1"/>
      </w:tblPr>
      <w:tblGrid>
        <w:gridCol w:w="3085"/>
        <w:gridCol w:w="1843"/>
        <w:gridCol w:w="10489"/>
      </w:tblGrid>
      <w:tr w:rsidR="0033432B" w:rsidRPr="00B96FF4" w14:paraId="7AAE1D6C" w14:textId="77777777" w:rsidTr="00DF31C8">
        <w:tc>
          <w:tcPr>
            <w:tcW w:w="3085" w:type="dxa"/>
            <w:shd w:val="pct25" w:color="auto" w:fill="auto"/>
            <w:vAlign w:val="center"/>
          </w:tcPr>
          <w:p w14:paraId="756AE53D" w14:textId="77777777" w:rsidR="0033432B" w:rsidRPr="00B96FF4" w:rsidRDefault="0033432B" w:rsidP="00422639">
            <w:pPr>
              <w:pStyle w:val="Web"/>
              <w:spacing w:before="0" w:beforeAutospacing="0" w:after="0" w:afterAutospacing="0"/>
              <w:jc w:val="center"/>
              <w:rPr>
                <w:rFonts w:asciiTheme="majorEastAsia" w:eastAsiaTheme="majorEastAsia" w:hAnsiTheme="majorEastAsia"/>
              </w:rPr>
            </w:pPr>
            <w:r>
              <w:rPr>
                <w:rFonts w:asciiTheme="majorEastAsia" w:eastAsiaTheme="majorEastAsia" w:hAnsiTheme="majorEastAsia" w:cs="Meiryo UI" w:hint="eastAsia"/>
                <w:kern w:val="24"/>
                <w:sz w:val="20"/>
                <w:szCs w:val="20"/>
              </w:rPr>
              <w:t>ファンド名</w:t>
            </w:r>
          </w:p>
        </w:tc>
        <w:tc>
          <w:tcPr>
            <w:tcW w:w="1843" w:type="dxa"/>
            <w:shd w:val="pct25" w:color="auto" w:fill="auto"/>
            <w:vAlign w:val="center"/>
          </w:tcPr>
          <w:p w14:paraId="20E947CD" w14:textId="77777777" w:rsidR="0033432B" w:rsidRPr="00B96FF4" w:rsidRDefault="0033432B" w:rsidP="00422639">
            <w:pPr>
              <w:pStyle w:val="Web"/>
              <w:spacing w:before="0" w:beforeAutospacing="0" w:after="0" w:afterAutospacing="0"/>
              <w:jc w:val="center"/>
              <w:rPr>
                <w:rFonts w:asciiTheme="majorEastAsia" w:eastAsiaTheme="majorEastAsia" w:hAnsiTheme="majorEastAsia"/>
              </w:rPr>
            </w:pPr>
            <w:r w:rsidRPr="00B96FF4">
              <w:rPr>
                <w:rFonts w:asciiTheme="majorEastAsia" w:eastAsiaTheme="majorEastAsia" w:hAnsiTheme="majorEastAsia" w:cs="Meiryo UI" w:hint="eastAsia"/>
                <w:kern w:val="24"/>
                <w:sz w:val="20"/>
                <w:szCs w:val="20"/>
              </w:rPr>
              <w:t>運用会社</w:t>
            </w:r>
          </w:p>
        </w:tc>
        <w:tc>
          <w:tcPr>
            <w:tcW w:w="10489" w:type="dxa"/>
            <w:shd w:val="pct25" w:color="auto" w:fill="auto"/>
            <w:vAlign w:val="center"/>
          </w:tcPr>
          <w:p w14:paraId="30745A04" w14:textId="50BFE17B" w:rsidR="0033432B" w:rsidRPr="00B96FF4" w:rsidRDefault="0033432B" w:rsidP="00422639">
            <w:pPr>
              <w:pStyle w:val="Web"/>
              <w:spacing w:before="0" w:beforeAutospacing="0" w:after="0" w:afterAutospacing="0"/>
              <w:jc w:val="center"/>
              <w:rPr>
                <w:rFonts w:asciiTheme="majorEastAsia" w:eastAsiaTheme="majorEastAsia" w:hAnsiTheme="majorEastAsia"/>
              </w:rPr>
            </w:pPr>
            <w:r>
              <w:rPr>
                <w:rFonts w:asciiTheme="majorEastAsia" w:eastAsiaTheme="majorEastAsia" w:hAnsiTheme="majorEastAsia" w:cs="Meiryo UI" w:hint="eastAsia"/>
                <w:kern w:val="24"/>
                <w:sz w:val="20"/>
                <w:szCs w:val="20"/>
              </w:rPr>
              <w:t>選定理由</w:t>
            </w:r>
          </w:p>
        </w:tc>
      </w:tr>
      <w:tr w:rsidR="0033432B" w:rsidRPr="00B96FF4" w14:paraId="0E14FFFA" w14:textId="77777777" w:rsidTr="00DF31C8">
        <w:trPr>
          <w:trHeight w:val="503"/>
        </w:trPr>
        <w:tc>
          <w:tcPr>
            <w:tcW w:w="3085" w:type="dxa"/>
            <w:vAlign w:val="center"/>
          </w:tcPr>
          <w:p w14:paraId="04ABAD80" w14:textId="77777777" w:rsidR="0033432B" w:rsidRPr="00DF31C8" w:rsidRDefault="0033432B" w:rsidP="00DF31C8">
            <w:pPr>
              <w:pStyle w:val="Web"/>
              <w:spacing w:before="0" w:beforeAutospacing="0" w:after="0" w:afterAutospacing="0"/>
              <w:jc w:val="center"/>
              <w:rPr>
                <w:rFonts w:asciiTheme="majorEastAsia" w:eastAsiaTheme="majorEastAsia" w:hAnsiTheme="majorEastAsia"/>
                <w:sz w:val="20"/>
                <w:szCs w:val="18"/>
              </w:rPr>
            </w:pPr>
            <w:r w:rsidRPr="00DF31C8">
              <w:rPr>
                <w:rFonts w:asciiTheme="majorEastAsia" w:eastAsiaTheme="majorEastAsia" w:hAnsiTheme="majorEastAsia" w:hint="eastAsia"/>
                <w:sz w:val="20"/>
                <w:szCs w:val="18"/>
              </w:rPr>
              <w:t>農林中金＜パートナーズ＞</w:t>
            </w:r>
          </w:p>
          <w:p w14:paraId="492BC551" w14:textId="77777777" w:rsidR="00DF31C8" w:rsidRPr="00DF31C8" w:rsidRDefault="00DF31C8" w:rsidP="00DF31C8">
            <w:pPr>
              <w:pStyle w:val="Web"/>
              <w:spacing w:before="0" w:beforeAutospacing="0" w:after="0" w:afterAutospacing="0"/>
              <w:jc w:val="center"/>
              <w:rPr>
                <w:rFonts w:asciiTheme="majorEastAsia" w:eastAsiaTheme="majorEastAsia" w:hAnsiTheme="majorEastAsia"/>
                <w:sz w:val="20"/>
                <w:szCs w:val="18"/>
              </w:rPr>
            </w:pPr>
            <w:r w:rsidRPr="00DF31C8">
              <w:rPr>
                <w:rFonts w:asciiTheme="majorEastAsia" w:eastAsiaTheme="majorEastAsia" w:hAnsiTheme="majorEastAsia" w:hint="eastAsia"/>
                <w:sz w:val="20"/>
                <w:szCs w:val="18"/>
              </w:rPr>
              <w:t>つみたてＮＩＳＡ日本株式</w:t>
            </w:r>
          </w:p>
          <w:p w14:paraId="2F3D88A6" w14:textId="17D3773D" w:rsidR="0033432B" w:rsidRPr="00DF31C8" w:rsidRDefault="0033432B" w:rsidP="00DF31C8">
            <w:pPr>
              <w:pStyle w:val="Web"/>
              <w:spacing w:before="0" w:beforeAutospacing="0" w:after="0" w:afterAutospacing="0"/>
              <w:jc w:val="center"/>
              <w:rPr>
                <w:rFonts w:asciiTheme="majorEastAsia" w:eastAsiaTheme="majorEastAsia" w:hAnsiTheme="majorEastAsia"/>
                <w:sz w:val="20"/>
                <w:szCs w:val="18"/>
              </w:rPr>
            </w:pPr>
            <w:r w:rsidRPr="00DF31C8">
              <w:rPr>
                <w:rFonts w:asciiTheme="majorEastAsia" w:eastAsiaTheme="majorEastAsia" w:hAnsiTheme="majorEastAsia" w:hint="eastAsia"/>
                <w:sz w:val="20"/>
                <w:szCs w:val="18"/>
              </w:rPr>
              <w:t>日経２２５</w:t>
            </w:r>
          </w:p>
        </w:tc>
        <w:tc>
          <w:tcPr>
            <w:tcW w:w="1843" w:type="dxa"/>
            <w:vAlign w:val="center"/>
          </w:tcPr>
          <w:p w14:paraId="66B00213" w14:textId="1F2310BF" w:rsidR="0033432B" w:rsidRPr="00DF31C8" w:rsidRDefault="0033432B" w:rsidP="00DF31C8">
            <w:pPr>
              <w:pStyle w:val="Web"/>
              <w:spacing w:before="0" w:beforeAutospacing="0" w:after="0" w:afterAutospacing="0"/>
              <w:jc w:val="center"/>
              <w:rPr>
                <w:rFonts w:asciiTheme="majorEastAsia" w:eastAsiaTheme="majorEastAsia" w:hAnsiTheme="majorEastAsia" w:cs="Meiryo UI"/>
                <w:kern w:val="24"/>
                <w:sz w:val="20"/>
                <w:szCs w:val="18"/>
              </w:rPr>
            </w:pPr>
            <w:r w:rsidRPr="00DF31C8">
              <w:rPr>
                <w:rFonts w:asciiTheme="majorEastAsia" w:eastAsiaTheme="majorEastAsia" w:hAnsiTheme="majorEastAsia" w:cs="Meiryo UI" w:hint="eastAsia"/>
                <w:kern w:val="24"/>
                <w:sz w:val="20"/>
                <w:szCs w:val="18"/>
              </w:rPr>
              <w:t>農林中金全共連アセットマネジメント</w:t>
            </w:r>
            <w:r w:rsidR="00DF31C8" w:rsidRPr="00DF31C8">
              <w:rPr>
                <w:rFonts w:asciiTheme="majorEastAsia" w:eastAsiaTheme="majorEastAsia" w:hAnsiTheme="majorEastAsia" w:cs="Meiryo UI" w:hint="eastAsia"/>
                <w:kern w:val="24"/>
                <w:sz w:val="20"/>
                <w:szCs w:val="18"/>
              </w:rPr>
              <w:t>（株）</w:t>
            </w:r>
          </w:p>
        </w:tc>
        <w:tc>
          <w:tcPr>
            <w:tcW w:w="10489" w:type="dxa"/>
            <w:vAlign w:val="center"/>
          </w:tcPr>
          <w:p w14:paraId="094C6E78" w14:textId="10ED5411" w:rsidR="00DF31C8" w:rsidRPr="00607D48" w:rsidRDefault="00DF31C8" w:rsidP="00DF31C8">
            <w:pPr>
              <w:pStyle w:val="a3"/>
              <w:numPr>
                <w:ilvl w:val="0"/>
                <w:numId w:val="9"/>
              </w:numPr>
              <w:ind w:leftChars="0"/>
              <w:rPr>
                <w:rFonts w:asciiTheme="majorEastAsia" w:eastAsiaTheme="majorEastAsia" w:hAnsiTheme="majorEastAsia"/>
                <w:sz w:val="20"/>
                <w:szCs w:val="20"/>
              </w:rPr>
            </w:pPr>
            <w:r w:rsidRPr="00DF31C8">
              <w:rPr>
                <w:rFonts w:asciiTheme="majorEastAsia" w:eastAsiaTheme="majorEastAsia" w:hAnsiTheme="majorEastAsia" w:hint="eastAsia"/>
                <w:sz w:val="20"/>
                <w:szCs w:val="18"/>
              </w:rPr>
              <w:t>株</w:t>
            </w:r>
            <w:r w:rsidRPr="00607D48">
              <w:rPr>
                <w:rFonts w:asciiTheme="majorEastAsia" w:eastAsiaTheme="majorEastAsia" w:hAnsiTheme="majorEastAsia" w:hint="eastAsia"/>
                <w:sz w:val="20"/>
                <w:szCs w:val="20"/>
              </w:rPr>
              <w:t>式への投資は経済成長の成果を長期にわたり享受することが期待できることから、株式のインデックスファンド</w:t>
            </w:r>
            <w:r w:rsidR="00EC3138" w:rsidRPr="00607D48">
              <w:rPr>
                <w:rFonts w:asciiTheme="majorEastAsia" w:eastAsiaTheme="majorEastAsia" w:hAnsiTheme="majorEastAsia" w:cs="Meiryo UI" w:hint="eastAsia"/>
                <w:sz w:val="20"/>
                <w:szCs w:val="20"/>
              </w:rPr>
              <w:t>(*1)</w:t>
            </w:r>
            <w:r w:rsidRPr="00607D48">
              <w:rPr>
                <w:rFonts w:asciiTheme="majorEastAsia" w:eastAsiaTheme="majorEastAsia" w:hAnsiTheme="majorEastAsia" w:hint="eastAsia"/>
                <w:sz w:val="20"/>
                <w:szCs w:val="20"/>
              </w:rPr>
              <w:t>を選定することといたしました。</w:t>
            </w:r>
          </w:p>
          <w:p w14:paraId="5436A3B8" w14:textId="7958B868" w:rsidR="00DF31C8" w:rsidRPr="00DF31C8" w:rsidRDefault="00DF31C8" w:rsidP="00DF31C8">
            <w:pPr>
              <w:pStyle w:val="a3"/>
              <w:numPr>
                <w:ilvl w:val="0"/>
                <w:numId w:val="9"/>
              </w:numPr>
              <w:ind w:leftChars="0"/>
              <w:rPr>
                <w:rFonts w:asciiTheme="majorEastAsia" w:eastAsiaTheme="majorEastAsia" w:hAnsiTheme="majorEastAsia"/>
                <w:sz w:val="20"/>
                <w:szCs w:val="18"/>
              </w:rPr>
            </w:pPr>
            <w:r w:rsidRPr="00607D48">
              <w:rPr>
                <w:rFonts w:asciiTheme="majorEastAsia" w:eastAsiaTheme="majorEastAsia" w:hAnsiTheme="majorEastAsia" w:hint="eastAsia"/>
                <w:sz w:val="20"/>
                <w:szCs w:val="20"/>
              </w:rPr>
              <w:t>日本株式インデックス指数</w:t>
            </w:r>
            <w:r w:rsidR="00EC3138" w:rsidRPr="00607D48">
              <w:rPr>
                <w:rFonts w:asciiTheme="majorEastAsia" w:eastAsiaTheme="majorEastAsia" w:hAnsiTheme="majorEastAsia" w:hint="eastAsia"/>
                <w:sz w:val="20"/>
                <w:szCs w:val="20"/>
              </w:rPr>
              <w:t>としましては、</w:t>
            </w:r>
            <w:r w:rsidRPr="00607D48">
              <w:rPr>
                <w:rFonts w:asciiTheme="majorEastAsia" w:eastAsiaTheme="majorEastAsia" w:hAnsiTheme="majorEastAsia" w:hint="eastAsia"/>
                <w:sz w:val="20"/>
                <w:szCs w:val="20"/>
              </w:rPr>
              <w:t>認知度が高く、メディア媒体（新聞・TV等）を通じて情報を入手しやすいことから、値動き等が組合員・利用者</w:t>
            </w:r>
            <w:r w:rsidRPr="00DF31C8">
              <w:rPr>
                <w:rFonts w:asciiTheme="majorEastAsia" w:eastAsiaTheme="majorEastAsia" w:hAnsiTheme="majorEastAsia" w:hint="eastAsia"/>
                <w:sz w:val="20"/>
                <w:szCs w:val="18"/>
              </w:rPr>
              <w:t>の皆さまにとって分かりやすい日経225を選定いたしました。</w:t>
            </w:r>
          </w:p>
          <w:p w14:paraId="4F33B78A" w14:textId="77777777" w:rsidR="0033432B" w:rsidRPr="00DF31C8" w:rsidRDefault="00DF31C8" w:rsidP="00DF31C8">
            <w:pPr>
              <w:pStyle w:val="a3"/>
              <w:numPr>
                <w:ilvl w:val="0"/>
                <w:numId w:val="9"/>
              </w:numPr>
              <w:ind w:leftChars="0"/>
              <w:rPr>
                <w:rFonts w:asciiTheme="majorEastAsia" w:eastAsiaTheme="majorEastAsia" w:hAnsiTheme="majorEastAsia"/>
                <w:sz w:val="20"/>
                <w:szCs w:val="18"/>
              </w:rPr>
            </w:pPr>
            <w:r w:rsidRPr="00DF31C8">
              <w:rPr>
                <w:rFonts w:asciiTheme="majorEastAsia" w:eastAsiaTheme="majorEastAsia" w:hAnsiTheme="majorEastAsia" w:hint="eastAsia"/>
                <w:sz w:val="20"/>
                <w:szCs w:val="18"/>
              </w:rPr>
              <w:t>インデックスファンドにつきましては、組合員・利用者の皆さまの長期にわたる資産形成に責任を持って対応するためＪＡグループの資産運用会社である農林中金全共連アセットマネジメントが管理運用するファンドを選定いたしました。</w:t>
            </w:r>
          </w:p>
        </w:tc>
      </w:tr>
    </w:tbl>
    <w:p w14:paraId="56ACE14D" w14:textId="20FFF5D6" w:rsidR="00DF31C8" w:rsidRDefault="00DF31C8">
      <w:r>
        <w:br w:type="page"/>
      </w:r>
    </w:p>
    <w:tbl>
      <w:tblPr>
        <w:tblStyle w:val="a8"/>
        <w:tblW w:w="15417" w:type="dxa"/>
        <w:tblLook w:val="04A0" w:firstRow="1" w:lastRow="0" w:firstColumn="1" w:lastColumn="0" w:noHBand="0" w:noVBand="1"/>
      </w:tblPr>
      <w:tblGrid>
        <w:gridCol w:w="3085"/>
        <w:gridCol w:w="1843"/>
        <w:gridCol w:w="10489"/>
      </w:tblGrid>
      <w:tr w:rsidR="00DF31C8" w:rsidRPr="00B96FF4" w14:paraId="43421D44" w14:textId="77777777" w:rsidTr="00F15205">
        <w:trPr>
          <w:trHeight w:val="274"/>
        </w:trPr>
        <w:tc>
          <w:tcPr>
            <w:tcW w:w="3085" w:type="dxa"/>
            <w:shd w:val="clear" w:color="auto" w:fill="BFBFBF" w:themeFill="background1" w:themeFillShade="BF"/>
            <w:vAlign w:val="center"/>
          </w:tcPr>
          <w:p w14:paraId="414C2BC0" w14:textId="77777777" w:rsidR="00DF31C8" w:rsidRPr="00B96FF4" w:rsidRDefault="00DF31C8" w:rsidP="0072040D">
            <w:pPr>
              <w:pStyle w:val="Web"/>
              <w:spacing w:before="0" w:beforeAutospacing="0" w:after="0" w:afterAutospacing="0"/>
              <w:jc w:val="center"/>
              <w:rPr>
                <w:rFonts w:asciiTheme="majorEastAsia" w:eastAsiaTheme="majorEastAsia" w:hAnsiTheme="majorEastAsia"/>
              </w:rPr>
            </w:pPr>
            <w:r>
              <w:rPr>
                <w:rFonts w:asciiTheme="majorEastAsia" w:eastAsiaTheme="majorEastAsia" w:hAnsiTheme="majorEastAsia" w:cs="Meiryo UI" w:hint="eastAsia"/>
                <w:kern w:val="24"/>
                <w:sz w:val="20"/>
                <w:szCs w:val="20"/>
              </w:rPr>
              <w:lastRenderedPageBreak/>
              <w:t>ファンド名</w:t>
            </w:r>
          </w:p>
        </w:tc>
        <w:tc>
          <w:tcPr>
            <w:tcW w:w="1843" w:type="dxa"/>
            <w:shd w:val="clear" w:color="auto" w:fill="BFBFBF" w:themeFill="background1" w:themeFillShade="BF"/>
            <w:vAlign w:val="center"/>
          </w:tcPr>
          <w:p w14:paraId="22374A5B" w14:textId="77777777" w:rsidR="00DF31C8" w:rsidRPr="00B96FF4" w:rsidRDefault="00DF31C8" w:rsidP="0072040D">
            <w:pPr>
              <w:pStyle w:val="Web"/>
              <w:spacing w:before="0" w:beforeAutospacing="0" w:after="0" w:afterAutospacing="0"/>
              <w:jc w:val="center"/>
              <w:rPr>
                <w:rFonts w:asciiTheme="majorEastAsia" w:eastAsiaTheme="majorEastAsia" w:hAnsiTheme="majorEastAsia"/>
              </w:rPr>
            </w:pPr>
            <w:r w:rsidRPr="00B96FF4">
              <w:rPr>
                <w:rFonts w:asciiTheme="majorEastAsia" w:eastAsiaTheme="majorEastAsia" w:hAnsiTheme="majorEastAsia" w:cs="Meiryo UI" w:hint="eastAsia"/>
                <w:kern w:val="24"/>
                <w:sz w:val="20"/>
                <w:szCs w:val="20"/>
              </w:rPr>
              <w:t>運用会社</w:t>
            </w:r>
          </w:p>
        </w:tc>
        <w:tc>
          <w:tcPr>
            <w:tcW w:w="10489" w:type="dxa"/>
            <w:shd w:val="clear" w:color="auto" w:fill="BFBFBF" w:themeFill="background1" w:themeFillShade="BF"/>
            <w:vAlign w:val="center"/>
          </w:tcPr>
          <w:p w14:paraId="3E2C4439" w14:textId="77777777" w:rsidR="00DF31C8" w:rsidRPr="00B96FF4" w:rsidRDefault="00DF31C8" w:rsidP="0072040D">
            <w:pPr>
              <w:pStyle w:val="Web"/>
              <w:spacing w:before="0" w:beforeAutospacing="0" w:after="0" w:afterAutospacing="0"/>
              <w:jc w:val="center"/>
              <w:rPr>
                <w:rFonts w:asciiTheme="majorEastAsia" w:eastAsiaTheme="majorEastAsia" w:hAnsiTheme="majorEastAsia"/>
              </w:rPr>
            </w:pPr>
            <w:r>
              <w:rPr>
                <w:rFonts w:asciiTheme="majorEastAsia" w:eastAsiaTheme="majorEastAsia" w:hAnsiTheme="majorEastAsia" w:cs="Meiryo UI" w:hint="eastAsia"/>
                <w:kern w:val="24"/>
                <w:sz w:val="20"/>
                <w:szCs w:val="20"/>
              </w:rPr>
              <w:t>選定理由</w:t>
            </w:r>
          </w:p>
        </w:tc>
      </w:tr>
      <w:tr w:rsidR="00DF31C8" w:rsidRPr="00B96FF4" w14:paraId="7ADAE1BB" w14:textId="77777777" w:rsidTr="00F15205">
        <w:trPr>
          <w:trHeight w:val="2451"/>
        </w:trPr>
        <w:tc>
          <w:tcPr>
            <w:tcW w:w="3085" w:type="dxa"/>
            <w:vAlign w:val="center"/>
          </w:tcPr>
          <w:p w14:paraId="5A699C62" w14:textId="77777777" w:rsidR="00DF31C8" w:rsidRPr="009C1645" w:rsidRDefault="00DF31C8" w:rsidP="00DF31C8">
            <w:pPr>
              <w:pStyle w:val="Web"/>
              <w:spacing w:before="0" w:beforeAutospacing="0" w:after="0" w:afterAutospacing="0"/>
              <w:jc w:val="center"/>
              <w:rPr>
                <w:rFonts w:asciiTheme="majorEastAsia" w:eastAsiaTheme="majorEastAsia" w:hAnsiTheme="majorEastAsia"/>
                <w:sz w:val="20"/>
                <w:szCs w:val="18"/>
              </w:rPr>
            </w:pPr>
            <w:r w:rsidRPr="009C1645">
              <w:rPr>
                <w:rFonts w:asciiTheme="majorEastAsia" w:eastAsiaTheme="majorEastAsia" w:hAnsiTheme="majorEastAsia" w:hint="eastAsia"/>
                <w:sz w:val="20"/>
                <w:szCs w:val="18"/>
              </w:rPr>
              <w:t>農林中金＜パートナーズ＞</w:t>
            </w:r>
          </w:p>
          <w:p w14:paraId="20A13DE9" w14:textId="77777777" w:rsidR="00DF31C8" w:rsidRPr="009C1645" w:rsidRDefault="00DF31C8" w:rsidP="00DF31C8">
            <w:pPr>
              <w:pStyle w:val="Web"/>
              <w:spacing w:before="0" w:beforeAutospacing="0" w:after="0" w:afterAutospacing="0"/>
              <w:jc w:val="center"/>
              <w:rPr>
                <w:rFonts w:asciiTheme="majorEastAsia" w:eastAsiaTheme="majorEastAsia" w:hAnsiTheme="majorEastAsia"/>
                <w:sz w:val="20"/>
                <w:szCs w:val="18"/>
              </w:rPr>
            </w:pPr>
            <w:r w:rsidRPr="009C1645">
              <w:rPr>
                <w:rFonts w:asciiTheme="majorEastAsia" w:eastAsiaTheme="majorEastAsia" w:hAnsiTheme="majorEastAsia" w:hint="eastAsia"/>
                <w:sz w:val="20"/>
                <w:szCs w:val="18"/>
              </w:rPr>
              <w:t>つみたてＮＩＳＡ米国株式</w:t>
            </w:r>
          </w:p>
          <w:p w14:paraId="64D0D31B" w14:textId="77777777" w:rsidR="00DF31C8" w:rsidRPr="009C1645" w:rsidRDefault="00DF31C8" w:rsidP="00DF31C8">
            <w:pPr>
              <w:pStyle w:val="Web"/>
              <w:spacing w:before="0" w:beforeAutospacing="0" w:after="0" w:afterAutospacing="0"/>
              <w:jc w:val="center"/>
              <w:rPr>
                <w:rFonts w:asciiTheme="majorEastAsia" w:eastAsiaTheme="majorEastAsia" w:hAnsiTheme="majorEastAsia"/>
                <w:sz w:val="20"/>
                <w:szCs w:val="18"/>
              </w:rPr>
            </w:pPr>
            <w:r w:rsidRPr="009C1645">
              <w:rPr>
                <w:rFonts w:asciiTheme="majorEastAsia" w:eastAsiaTheme="majorEastAsia" w:hAnsiTheme="majorEastAsia" w:hint="eastAsia"/>
                <w:sz w:val="20"/>
                <w:szCs w:val="18"/>
              </w:rPr>
              <w:t>Ｓ＆Ｐ５００</w:t>
            </w:r>
          </w:p>
        </w:tc>
        <w:tc>
          <w:tcPr>
            <w:tcW w:w="1843" w:type="dxa"/>
            <w:vAlign w:val="center"/>
          </w:tcPr>
          <w:p w14:paraId="3A3FAD3E" w14:textId="77777777" w:rsidR="00DF31C8" w:rsidRPr="009C1645" w:rsidRDefault="00DF31C8" w:rsidP="00DF31C8">
            <w:pPr>
              <w:jc w:val="center"/>
              <w:rPr>
                <w:rFonts w:asciiTheme="majorEastAsia" w:eastAsiaTheme="majorEastAsia" w:hAnsiTheme="majorEastAsia" w:cs="Meiryo UI"/>
                <w:sz w:val="20"/>
                <w:szCs w:val="18"/>
              </w:rPr>
            </w:pPr>
            <w:r w:rsidRPr="009C1645">
              <w:rPr>
                <w:rFonts w:asciiTheme="majorEastAsia" w:eastAsiaTheme="majorEastAsia" w:hAnsiTheme="majorEastAsia" w:cs="Meiryo UI" w:hint="eastAsia"/>
                <w:kern w:val="24"/>
                <w:sz w:val="20"/>
                <w:szCs w:val="18"/>
              </w:rPr>
              <w:t>農林中金全共連アセットマネジメント（株）</w:t>
            </w:r>
          </w:p>
        </w:tc>
        <w:tc>
          <w:tcPr>
            <w:tcW w:w="10489" w:type="dxa"/>
            <w:vAlign w:val="center"/>
          </w:tcPr>
          <w:p w14:paraId="37E5F5B8" w14:textId="77777777" w:rsidR="00DF31C8" w:rsidRPr="00607D48" w:rsidRDefault="00DF31C8" w:rsidP="00DF31C8">
            <w:pPr>
              <w:pStyle w:val="a3"/>
              <w:numPr>
                <w:ilvl w:val="0"/>
                <w:numId w:val="9"/>
              </w:numPr>
              <w:ind w:leftChars="0"/>
              <w:rPr>
                <w:rFonts w:asciiTheme="majorEastAsia" w:eastAsiaTheme="majorEastAsia" w:hAnsiTheme="majorEastAsia"/>
                <w:sz w:val="20"/>
                <w:szCs w:val="20"/>
              </w:rPr>
            </w:pPr>
            <w:r w:rsidRPr="00DF31C8">
              <w:rPr>
                <w:rFonts w:asciiTheme="majorEastAsia" w:eastAsiaTheme="majorEastAsia" w:hAnsiTheme="majorEastAsia" w:hint="eastAsia"/>
                <w:sz w:val="20"/>
                <w:szCs w:val="18"/>
              </w:rPr>
              <w:t>株式への投資は経済成長の成果を長期にわたり享受することが期待できることから、株式のインデックスファンドを選</w:t>
            </w:r>
            <w:r w:rsidRPr="00607D48">
              <w:rPr>
                <w:rFonts w:asciiTheme="majorEastAsia" w:eastAsiaTheme="majorEastAsia" w:hAnsiTheme="majorEastAsia" w:hint="eastAsia"/>
                <w:sz w:val="20"/>
                <w:szCs w:val="20"/>
              </w:rPr>
              <w:t>定することといたしました。</w:t>
            </w:r>
          </w:p>
          <w:p w14:paraId="0C1077A7" w14:textId="77777777" w:rsidR="00B76C62" w:rsidRPr="00607D48" w:rsidRDefault="00DF31C8" w:rsidP="00DF31C8">
            <w:pPr>
              <w:pStyle w:val="a3"/>
              <w:numPr>
                <w:ilvl w:val="0"/>
                <w:numId w:val="9"/>
              </w:numPr>
              <w:ind w:leftChars="0"/>
              <w:rPr>
                <w:rFonts w:asciiTheme="majorEastAsia" w:eastAsiaTheme="majorEastAsia" w:hAnsiTheme="majorEastAsia" w:cs="Meiryo UI"/>
                <w:sz w:val="20"/>
                <w:szCs w:val="20"/>
              </w:rPr>
            </w:pPr>
            <w:r w:rsidRPr="00607D48">
              <w:rPr>
                <w:rFonts w:asciiTheme="majorEastAsia" w:eastAsiaTheme="majorEastAsia" w:hAnsiTheme="majorEastAsia" w:hint="eastAsia"/>
                <w:sz w:val="20"/>
                <w:szCs w:val="20"/>
              </w:rPr>
              <w:t>米国株式インデックス指数</w:t>
            </w:r>
            <w:r w:rsidR="00EC3138" w:rsidRPr="00607D48">
              <w:rPr>
                <w:rFonts w:asciiTheme="majorEastAsia" w:eastAsiaTheme="majorEastAsia" w:hAnsiTheme="majorEastAsia" w:hint="eastAsia"/>
                <w:sz w:val="20"/>
                <w:szCs w:val="20"/>
              </w:rPr>
              <w:t>としましては、</w:t>
            </w:r>
            <w:r w:rsidRPr="00607D48">
              <w:rPr>
                <w:rFonts w:asciiTheme="majorEastAsia" w:eastAsiaTheme="majorEastAsia" w:hAnsiTheme="majorEastAsia" w:hint="eastAsia"/>
                <w:sz w:val="20"/>
                <w:szCs w:val="20"/>
              </w:rPr>
              <w:t>認知度が高く、メディア媒体（新聞・TV等）を通じて情報を入手しやすいことから、値動き等が組合員・利用者の皆さまにとって分かりやすい</w:t>
            </w:r>
            <w:r w:rsidRPr="00607D48">
              <w:rPr>
                <w:rFonts w:asciiTheme="majorEastAsia" w:eastAsiaTheme="majorEastAsia" w:hAnsiTheme="majorEastAsia" w:cs="Meiryo UI" w:hint="eastAsia"/>
                <w:sz w:val="20"/>
                <w:szCs w:val="20"/>
              </w:rPr>
              <w:t>S&amp;P500</w:t>
            </w:r>
            <w:r w:rsidRPr="00607D48">
              <w:rPr>
                <w:rFonts w:asciiTheme="majorEastAsia" w:eastAsiaTheme="majorEastAsia" w:hAnsiTheme="majorEastAsia" w:hint="eastAsia"/>
                <w:sz w:val="20"/>
                <w:szCs w:val="20"/>
              </w:rPr>
              <w:t>を選定いたしました。</w:t>
            </w:r>
          </w:p>
          <w:p w14:paraId="6ECAF30B" w14:textId="77777777" w:rsidR="00DF31C8" w:rsidRPr="00DF31C8" w:rsidRDefault="00DF31C8" w:rsidP="00DF31C8">
            <w:pPr>
              <w:pStyle w:val="a3"/>
              <w:numPr>
                <w:ilvl w:val="0"/>
                <w:numId w:val="9"/>
              </w:numPr>
              <w:ind w:leftChars="0"/>
              <w:rPr>
                <w:rFonts w:asciiTheme="majorEastAsia" w:eastAsiaTheme="majorEastAsia" w:hAnsiTheme="majorEastAsia" w:cs="Meiryo UI"/>
                <w:sz w:val="20"/>
                <w:szCs w:val="18"/>
              </w:rPr>
            </w:pPr>
            <w:r w:rsidRPr="00607D48">
              <w:rPr>
                <w:rFonts w:asciiTheme="majorEastAsia" w:eastAsiaTheme="majorEastAsia" w:hAnsiTheme="majorEastAsia" w:hint="eastAsia"/>
                <w:sz w:val="20"/>
                <w:szCs w:val="20"/>
              </w:rPr>
              <w:t>インデックスファン</w:t>
            </w:r>
            <w:r w:rsidRPr="00DF31C8">
              <w:rPr>
                <w:rFonts w:asciiTheme="majorEastAsia" w:eastAsiaTheme="majorEastAsia" w:hAnsiTheme="majorEastAsia" w:hint="eastAsia"/>
                <w:sz w:val="20"/>
                <w:szCs w:val="18"/>
              </w:rPr>
              <w:t>ドにつきましては、組合員・利用者の皆さまの長期にわたる資産形成に責任を持って対応するためＪＡグループの資産運用会社である農林中金全共連アセットマネジメントが管理運用するファンドを選定いたしました。</w:t>
            </w:r>
          </w:p>
        </w:tc>
      </w:tr>
      <w:tr w:rsidR="00DF31C8" w:rsidRPr="00B96FF4" w14:paraId="2A6269FA" w14:textId="77777777" w:rsidTr="009C1645">
        <w:trPr>
          <w:trHeight w:val="503"/>
        </w:trPr>
        <w:tc>
          <w:tcPr>
            <w:tcW w:w="3085" w:type="dxa"/>
            <w:vAlign w:val="center"/>
          </w:tcPr>
          <w:p w14:paraId="7CD4E775" w14:textId="2E6C6A94" w:rsidR="00DF31C8" w:rsidRPr="00D06049" w:rsidRDefault="00DF31C8" w:rsidP="001E0BFE">
            <w:pPr>
              <w:pStyle w:val="Web"/>
              <w:spacing w:before="0" w:beforeAutospacing="0" w:after="0" w:afterAutospacing="0"/>
              <w:jc w:val="center"/>
              <w:rPr>
                <w:rFonts w:asciiTheme="majorEastAsia" w:eastAsiaTheme="majorEastAsia" w:hAnsiTheme="majorEastAsia"/>
                <w:sz w:val="20"/>
                <w:szCs w:val="18"/>
              </w:rPr>
            </w:pPr>
            <w:r w:rsidRPr="00985807">
              <w:rPr>
                <w:rFonts w:asciiTheme="majorEastAsia" w:eastAsiaTheme="majorEastAsia" w:hAnsiTheme="majorEastAsia" w:cs="ＭＳ 明朝" w:hint="eastAsia"/>
                <w:sz w:val="20"/>
                <w:szCs w:val="18"/>
              </w:rPr>
              <w:t>セゾン・グローバルバランスファンド</w:t>
            </w:r>
          </w:p>
        </w:tc>
        <w:tc>
          <w:tcPr>
            <w:tcW w:w="1843" w:type="dxa"/>
            <w:vAlign w:val="center"/>
          </w:tcPr>
          <w:p w14:paraId="0EC07A3A" w14:textId="77777777" w:rsidR="00DF31C8" w:rsidRPr="00D06049" w:rsidRDefault="00DF31C8" w:rsidP="00DF31C8">
            <w:pPr>
              <w:pStyle w:val="Web"/>
              <w:spacing w:before="0" w:beforeAutospacing="0" w:after="0" w:afterAutospacing="0"/>
              <w:jc w:val="center"/>
              <w:rPr>
                <w:rFonts w:asciiTheme="majorEastAsia" w:eastAsiaTheme="majorEastAsia" w:hAnsiTheme="majorEastAsia" w:cs="Meiryo UI"/>
                <w:kern w:val="24"/>
                <w:sz w:val="20"/>
                <w:szCs w:val="18"/>
              </w:rPr>
            </w:pPr>
            <w:r w:rsidRPr="00D06049">
              <w:rPr>
                <w:rFonts w:asciiTheme="majorEastAsia" w:eastAsiaTheme="majorEastAsia" w:hAnsiTheme="majorEastAsia" w:cs="ＭＳ 明朝" w:hint="eastAsia"/>
                <w:color w:val="000000"/>
                <w:sz w:val="20"/>
                <w:szCs w:val="18"/>
              </w:rPr>
              <w:t>セゾン投信（株）</w:t>
            </w:r>
          </w:p>
        </w:tc>
        <w:tc>
          <w:tcPr>
            <w:tcW w:w="10489" w:type="dxa"/>
            <w:vAlign w:val="center"/>
          </w:tcPr>
          <w:p w14:paraId="091DCD54" w14:textId="77777777" w:rsidR="00DF31C8" w:rsidRPr="00D06049" w:rsidRDefault="00F91B3A" w:rsidP="00DF31C8">
            <w:pPr>
              <w:pStyle w:val="a3"/>
              <w:numPr>
                <w:ilvl w:val="0"/>
                <w:numId w:val="10"/>
              </w:numPr>
              <w:ind w:leftChars="0"/>
              <w:rPr>
                <w:rFonts w:asciiTheme="majorEastAsia" w:eastAsiaTheme="majorEastAsia" w:hAnsiTheme="majorEastAsia" w:cs="Meiryo UI"/>
                <w:sz w:val="20"/>
                <w:szCs w:val="18"/>
              </w:rPr>
            </w:pPr>
            <w:r w:rsidRPr="00D06049">
              <w:rPr>
                <w:rFonts w:asciiTheme="majorEastAsia" w:eastAsiaTheme="majorEastAsia" w:hAnsiTheme="majorEastAsia" w:cs="Meiryo UI" w:hint="eastAsia"/>
                <w:sz w:val="20"/>
                <w:szCs w:val="18"/>
              </w:rPr>
              <w:t>株式・債券への分散投資は、</w:t>
            </w:r>
            <w:r w:rsidR="00DF31C8" w:rsidRPr="00D06049">
              <w:rPr>
                <w:rFonts w:asciiTheme="majorEastAsia" w:eastAsiaTheme="majorEastAsia" w:hAnsiTheme="majorEastAsia" w:cs="Meiryo UI" w:hint="eastAsia"/>
                <w:sz w:val="20"/>
                <w:szCs w:val="18"/>
              </w:rPr>
              <w:t>相対的に値動きを抑えながら、世界の経済成長の成果を享受することが</w:t>
            </w:r>
            <w:r w:rsidRPr="00D06049">
              <w:rPr>
                <w:rFonts w:asciiTheme="majorEastAsia" w:eastAsiaTheme="majorEastAsia" w:hAnsiTheme="majorEastAsia" w:cs="Meiryo UI" w:hint="eastAsia"/>
                <w:sz w:val="20"/>
                <w:szCs w:val="18"/>
              </w:rPr>
              <w:t>期待</w:t>
            </w:r>
            <w:r w:rsidR="00DF31C8" w:rsidRPr="00D06049">
              <w:rPr>
                <w:rFonts w:asciiTheme="majorEastAsia" w:eastAsiaTheme="majorEastAsia" w:hAnsiTheme="majorEastAsia" w:cs="Meiryo UI" w:hint="eastAsia"/>
                <w:sz w:val="20"/>
                <w:szCs w:val="18"/>
              </w:rPr>
              <w:t>できることから、株式・債券に半分ずつ投資する</w:t>
            </w:r>
            <w:r w:rsidRPr="00D06049">
              <w:rPr>
                <w:rFonts w:asciiTheme="majorEastAsia" w:eastAsiaTheme="majorEastAsia" w:hAnsiTheme="majorEastAsia" w:cs="Meiryo UI" w:hint="eastAsia"/>
                <w:sz w:val="20"/>
                <w:szCs w:val="18"/>
              </w:rPr>
              <w:t>バランス</w:t>
            </w:r>
            <w:r w:rsidR="00DF31C8" w:rsidRPr="00D06049">
              <w:rPr>
                <w:rFonts w:asciiTheme="majorEastAsia" w:eastAsiaTheme="majorEastAsia" w:hAnsiTheme="majorEastAsia" w:cs="Meiryo UI" w:hint="eastAsia"/>
                <w:sz w:val="20"/>
                <w:szCs w:val="18"/>
              </w:rPr>
              <w:t>ファンド</w:t>
            </w:r>
            <w:r w:rsidR="00211FA3" w:rsidRPr="00D06049">
              <w:rPr>
                <w:rFonts w:asciiTheme="majorEastAsia" w:eastAsiaTheme="majorEastAsia" w:hAnsiTheme="majorEastAsia" w:cs="Meiryo UI" w:hint="eastAsia"/>
                <w:sz w:val="20"/>
                <w:szCs w:val="20"/>
              </w:rPr>
              <w:t>(*2)</w:t>
            </w:r>
            <w:r w:rsidR="00DF31C8" w:rsidRPr="00D06049">
              <w:rPr>
                <w:rFonts w:asciiTheme="majorEastAsia" w:eastAsiaTheme="majorEastAsia" w:hAnsiTheme="majorEastAsia" w:cs="Meiryo UI" w:hint="eastAsia"/>
                <w:sz w:val="20"/>
                <w:szCs w:val="18"/>
              </w:rPr>
              <w:t>を選定することといたしました。</w:t>
            </w:r>
          </w:p>
          <w:p w14:paraId="575AC337" w14:textId="45FF057E" w:rsidR="00DF31C8" w:rsidRPr="00D06049" w:rsidRDefault="00DF31C8" w:rsidP="00DF31C8">
            <w:pPr>
              <w:pStyle w:val="a3"/>
              <w:numPr>
                <w:ilvl w:val="0"/>
                <w:numId w:val="10"/>
              </w:numPr>
              <w:ind w:leftChars="0"/>
              <w:rPr>
                <w:rFonts w:asciiTheme="majorEastAsia" w:eastAsiaTheme="majorEastAsia" w:hAnsiTheme="majorEastAsia" w:cs="Meiryo UI"/>
                <w:sz w:val="20"/>
                <w:szCs w:val="18"/>
              </w:rPr>
            </w:pPr>
            <w:r w:rsidRPr="00D06049">
              <w:rPr>
                <w:rFonts w:asciiTheme="majorEastAsia" w:eastAsiaTheme="majorEastAsia" w:hAnsiTheme="majorEastAsia" w:cs="Meiryo UI" w:hint="eastAsia"/>
                <w:sz w:val="20"/>
                <w:szCs w:val="18"/>
              </w:rPr>
              <w:t>当ファンドは、運用実績が良好で、積立投資を利用される個人顧客の皆さまから高い支持を受けて</w:t>
            </w:r>
            <w:r w:rsidR="00B6313A" w:rsidRPr="00D06049">
              <w:rPr>
                <w:rFonts w:asciiTheme="majorEastAsia" w:eastAsiaTheme="majorEastAsia" w:hAnsiTheme="majorEastAsia" w:cs="Meiryo UI" w:hint="eastAsia"/>
                <w:sz w:val="20"/>
                <w:szCs w:val="18"/>
              </w:rPr>
              <w:t>おります</w:t>
            </w:r>
            <w:r w:rsidRPr="00D06049">
              <w:rPr>
                <w:rFonts w:asciiTheme="majorEastAsia" w:eastAsiaTheme="majorEastAsia" w:hAnsiTheme="majorEastAsia" w:cs="Meiryo UI" w:hint="eastAsia"/>
                <w:sz w:val="20"/>
                <w:szCs w:val="18"/>
              </w:rPr>
              <w:t>。</w:t>
            </w:r>
          </w:p>
          <w:p w14:paraId="4FFFFB8F" w14:textId="50341E08" w:rsidR="00DF31C8" w:rsidRPr="00D06049" w:rsidRDefault="00DF31C8" w:rsidP="00DF31C8">
            <w:pPr>
              <w:pStyle w:val="a3"/>
              <w:numPr>
                <w:ilvl w:val="0"/>
                <w:numId w:val="10"/>
              </w:numPr>
              <w:ind w:leftChars="0"/>
              <w:rPr>
                <w:rFonts w:asciiTheme="majorEastAsia" w:eastAsiaTheme="majorEastAsia" w:hAnsiTheme="majorEastAsia" w:cs="Meiryo UI"/>
                <w:sz w:val="20"/>
                <w:szCs w:val="18"/>
              </w:rPr>
            </w:pPr>
            <w:r w:rsidRPr="00D06049">
              <w:rPr>
                <w:rFonts w:asciiTheme="majorEastAsia" w:eastAsiaTheme="majorEastAsia" w:hAnsiTheme="majorEastAsia" w:cs="Meiryo UI" w:hint="eastAsia"/>
                <w:sz w:val="20"/>
                <w:szCs w:val="18"/>
              </w:rPr>
              <w:t>運用会社であるセゾン投信株式会社は、業界に先駆けて早くフィデューシャリー・デューティー宣言を行い、「長期・積立・国際分散」投資を実践しており、ＪＡバンクの商品戦略に合致していることから、セゾン投資株式会社が管理運用するファンドを選定いたしました。</w:t>
            </w:r>
          </w:p>
        </w:tc>
      </w:tr>
      <w:tr w:rsidR="00DF31C8" w:rsidRPr="00B96FF4" w14:paraId="480A678F" w14:textId="77777777" w:rsidTr="009C1645">
        <w:trPr>
          <w:trHeight w:val="914"/>
        </w:trPr>
        <w:tc>
          <w:tcPr>
            <w:tcW w:w="3085" w:type="dxa"/>
            <w:vAlign w:val="center"/>
          </w:tcPr>
          <w:p w14:paraId="1C886B2C" w14:textId="77777777" w:rsidR="00DF31C8" w:rsidRPr="00D06049" w:rsidRDefault="00DF31C8" w:rsidP="009C1645">
            <w:pPr>
              <w:pStyle w:val="Web"/>
              <w:spacing w:before="0" w:beforeAutospacing="0" w:after="0" w:afterAutospacing="0"/>
              <w:jc w:val="center"/>
              <w:rPr>
                <w:rFonts w:asciiTheme="majorEastAsia" w:eastAsiaTheme="majorEastAsia" w:hAnsiTheme="majorEastAsia"/>
                <w:sz w:val="20"/>
                <w:szCs w:val="18"/>
              </w:rPr>
            </w:pPr>
            <w:r w:rsidRPr="00D06049">
              <w:rPr>
                <w:rFonts w:asciiTheme="majorEastAsia" w:eastAsiaTheme="majorEastAsia" w:hAnsiTheme="majorEastAsia" w:cs="ＭＳ 明朝" w:hint="eastAsia"/>
                <w:color w:val="000000"/>
                <w:sz w:val="20"/>
                <w:szCs w:val="18"/>
              </w:rPr>
              <w:t>セゾン資産形成の達人ファンド</w:t>
            </w:r>
          </w:p>
        </w:tc>
        <w:tc>
          <w:tcPr>
            <w:tcW w:w="1843" w:type="dxa"/>
            <w:vAlign w:val="center"/>
          </w:tcPr>
          <w:p w14:paraId="3884382C" w14:textId="77777777" w:rsidR="00DF31C8" w:rsidRPr="00D06049" w:rsidRDefault="00DF31C8" w:rsidP="00DF31C8">
            <w:pPr>
              <w:jc w:val="center"/>
              <w:rPr>
                <w:rFonts w:asciiTheme="majorEastAsia" w:eastAsiaTheme="majorEastAsia" w:hAnsiTheme="majorEastAsia" w:cs="Meiryo UI"/>
                <w:sz w:val="20"/>
                <w:szCs w:val="18"/>
              </w:rPr>
            </w:pPr>
            <w:r w:rsidRPr="00D06049">
              <w:rPr>
                <w:rFonts w:asciiTheme="majorEastAsia" w:eastAsiaTheme="majorEastAsia" w:hAnsiTheme="majorEastAsia" w:cs="ＭＳ 明朝" w:hint="eastAsia"/>
                <w:color w:val="000000"/>
                <w:sz w:val="20"/>
                <w:szCs w:val="18"/>
              </w:rPr>
              <w:t>セゾン投信（株）</w:t>
            </w:r>
          </w:p>
        </w:tc>
        <w:tc>
          <w:tcPr>
            <w:tcW w:w="10489" w:type="dxa"/>
            <w:vAlign w:val="center"/>
          </w:tcPr>
          <w:p w14:paraId="436BCADF" w14:textId="77777777" w:rsidR="00DF31C8" w:rsidRPr="00D06049" w:rsidRDefault="00DF31C8" w:rsidP="00DF31C8">
            <w:pPr>
              <w:pStyle w:val="a3"/>
              <w:numPr>
                <w:ilvl w:val="0"/>
                <w:numId w:val="11"/>
              </w:numPr>
              <w:tabs>
                <w:tab w:val="left" w:pos="-720"/>
                <w:tab w:val="left" w:pos="0"/>
                <w:tab w:val="left" w:pos="720"/>
                <w:tab w:val="left" w:pos="1440"/>
                <w:tab w:val="left" w:pos="2160"/>
                <w:tab w:val="left" w:pos="2880"/>
                <w:tab w:val="left" w:pos="3600"/>
                <w:tab w:val="left" w:pos="4320"/>
              </w:tabs>
              <w:autoSpaceDE w:val="0"/>
              <w:autoSpaceDN w:val="0"/>
              <w:adjustRightInd w:val="0"/>
              <w:ind w:leftChars="0"/>
              <w:rPr>
                <w:rFonts w:asciiTheme="majorEastAsia" w:eastAsiaTheme="majorEastAsia" w:hAnsiTheme="majorEastAsia" w:cs="ＭＳ 明朝"/>
                <w:color w:val="000000"/>
                <w:sz w:val="20"/>
                <w:szCs w:val="18"/>
              </w:rPr>
            </w:pPr>
            <w:r w:rsidRPr="00D06049">
              <w:rPr>
                <w:rFonts w:asciiTheme="majorEastAsia" w:eastAsiaTheme="majorEastAsia" w:hAnsiTheme="majorEastAsia" w:cs="ＭＳ 明朝" w:hint="eastAsia"/>
                <w:color w:val="000000"/>
                <w:sz w:val="20"/>
                <w:szCs w:val="18"/>
              </w:rPr>
              <w:t>株式への投資は経済成長の成果を長期にわたり享受することが期待できることから、株式に投資するファンドを選定することといたしました。</w:t>
            </w:r>
          </w:p>
          <w:p w14:paraId="1952B384" w14:textId="77777777" w:rsidR="00DF31C8" w:rsidRPr="00D06049" w:rsidRDefault="00DF31C8" w:rsidP="00DF31C8">
            <w:pPr>
              <w:pStyle w:val="a3"/>
              <w:numPr>
                <w:ilvl w:val="0"/>
                <w:numId w:val="11"/>
              </w:numPr>
              <w:tabs>
                <w:tab w:val="left" w:pos="-720"/>
                <w:tab w:val="left" w:pos="0"/>
                <w:tab w:val="left" w:pos="720"/>
                <w:tab w:val="left" w:pos="1440"/>
                <w:tab w:val="left" w:pos="2160"/>
                <w:tab w:val="left" w:pos="2880"/>
                <w:tab w:val="left" w:pos="3600"/>
                <w:tab w:val="left" w:pos="4320"/>
              </w:tabs>
              <w:autoSpaceDE w:val="0"/>
              <w:autoSpaceDN w:val="0"/>
              <w:adjustRightInd w:val="0"/>
              <w:ind w:leftChars="0"/>
              <w:rPr>
                <w:rFonts w:asciiTheme="majorEastAsia" w:eastAsiaTheme="majorEastAsia" w:hAnsiTheme="majorEastAsia" w:cs="ＭＳ 明朝"/>
                <w:color w:val="000000"/>
                <w:sz w:val="20"/>
                <w:szCs w:val="18"/>
              </w:rPr>
            </w:pPr>
            <w:r w:rsidRPr="00D06049">
              <w:rPr>
                <w:rFonts w:asciiTheme="majorEastAsia" w:eastAsiaTheme="majorEastAsia" w:hAnsiTheme="majorEastAsia" w:cs="ＭＳ 明朝" w:hint="eastAsia"/>
                <w:color w:val="000000"/>
                <w:sz w:val="20"/>
                <w:szCs w:val="18"/>
              </w:rPr>
              <w:t>当ファンドは、運用実績が良好で、積立投資を利用される個人顧客の皆さまから高い支持を受けて</w:t>
            </w:r>
            <w:r w:rsidR="00B6313A" w:rsidRPr="00D06049">
              <w:rPr>
                <w:rFonts w:asciiTheme="majorEastAsia" w:eastAsiaTheme="majorEastAsia" w:hAnsiTheme="majorEastAsia" w:cs="ＭＳ 明朝" w:hint="eastAsia"/>
                <w:color w:val="000000"/>
                <w:sz w:val="20"/>
                <w:szCs w:val="18"/>
              </w:rPr>
              <w:t>おります</w:t>
            </w:r>
            <w:r w:rsidRPr="00D06049">
              <w:rPr>
                <w:rFonts w:asciiTheme="majorEastAsia" w:eastAsiaTheme="majorEastAsia" w:hAnsiTheme="majorEastAsia" w:cs="ＭＳ 明朝" w:hint="eastAsia"/>
                <w:color w:val="000000"/>
                <w:sz w:val="20"/>
                <w:szCs w:val="18"/>
              </w:rPr>
              <w:t>。</w:t>
            </w:r>
          </w:p>
          <w:p w14:paraId="14BD9504" w14:textId="77777777" w:rsidR="00DF31C8" w:rsidRPr="00D06049" w:rsidRDefault="00DF31C8" w:rsidP="00DF31C8">
            <w:pPr>
              <w:pStyle w:val="a3"/>
              <w:numPr>
                <w:ilvl w:val="0"/>
                <w:numId w:val="11"/>
              </w:numPr>
              <w:ind w:leftChars="0"/>
              <w:rPr>
                <w:rFonts w:asciiTheme="majorEastAsia" w:eastAsiaTheme="majorEastAsia" w:hAnsiTheme="majorEastAsia" w:cs="Meiryo UI"/>
                <w:sz w:val="20"/>
                <w:szCs w:val="18"/>
              </w:rPr>
            </w:pPr>
            <w:r w:rsidRPr="00D06049">
              <w:rPr>
                <w:rFonts w:asciiTheme="majorEastAsia" w:eastAsiaTheme="majorEastAsia" w:hAnsiTheme="majorEastAsia" w:cs="ＭＳ 明朝" w:hint="eastAsia"/>
                <w:color w:val="000000"/>
                <w:sz w:val="20"/>
                <w:szCs w:val="18"/>
              </w:rPr>
              <w:t>運用会社であるセゾン投信株式会社は、業界に先駆けて早くフィデューシャリー・デューティー宣言を行い、「長期・積立・国際分散」投資を実践しており、ＪＡバンクの商品戦略に合致していることから、セゾン投資株式会社が管理運用するファンドを選定いたしました。</w:t>
            </w:r>
          </w:p>
        </w:tc>
      </w:tr>
    </w:tbl>
    <w:p w14:paraId="5233C020" w14:textId="77777777" w:rsidR="00EC3138" w:rsidRPr="00607D48" w:rsidRDefault="00EC3138" w:rsidP="00607D48">
      <w:pPr>
        <w:spacing w:line="0" w:lineRule="atLeast"/>
        <w:ind w:leftChars="-1" w:left="-2" w:firstLineChars="80" w:firstLine="144"/>
        <w:rPr>
          <w:rFonts w:asciiTheme="majorEastAsia" w:eastAsiaTheme="majorEastAsia" w:hAnsiTheme="majorEastAsia" w:cs="Meiryo UI"/>
          <w:sz w:val="18"/>
          <w:szCs w:val="18"/>
        </w:rPr>
      </w:pPr>
      <w:r w:rsidRPr="00607D48">
        <w:rPr>
          <w:rFonts w:asciiTheme="majorEastAsia" w:eastAsiaTheme="majorEastAsia" w:hAnsiTheme="majorEastAsia" w:cs="Meiryo UI" w:hint="eastAsia"/>
          <w:sz w:val="18"/>
          <w:szCs w:val="18"/>
        </w:rPr>
        <w:t>*1:　インデックスファンドとは、新聞・TV等で一般公開されている指数（株式の場合は「日経225」「TOPIX」等の株価指数）と同じような値動きを目指す運用をするファンドのことです。</w:t>
      </w:r>
    </w:p>
    <w:p w14:paraId="265E6A09" w14:textId="77777777" w:rsidR="00C7622B" w:rsidRPr="00EC3138" w:rsidRDefault="00EC3138" w:rsidP="00607D48">
      <w:pPr>
        <w:spacing w:line="0" w:lineRule="atLeast"/>
        <w:ind w:leftChars="-1" w:left="-2" w:firstLineChars="80" w:firstLine="144"/>
        <w:rPr>
          <w:rFonts w:asciiTheme="majorEastAsia" w:eastAsiaTheme="majorEastAsia" w:hAnsiTheme="majorEastAsia" w:cs="Meiryo UI"/>
          <w:sz w:val="18"/>
          <w:szCs w:val="18"/>
        </w:rPr>
      </w:pPr>
      <w:r w:rsidRPr="00607D48">
        <w:rPr>
          <w:rFonts w:asciiTheme="majorEastAsia" w:eastAsiaTheme="majorEastAsia" w:hAnsiTheme="majorEastAsia" w:cs="Meiryo UI" w:hint="eastAsia"/>
          <w:sz w:val="18"/>
          <w:szCs w:val="18"/>
        </w:rPr>
        <w:t>*2:　バランスファンドとは、株・債券等、複数の金融商品へ分散投資するファンドのことです。</w:t>
      </w:r>
    </w:p>
    <w:p w14:paraId="0F16B004" w14:textId="104964C2" w:rsidR="00350193" w:rsidRPr="00B96FF4" w:rsidRDefault="00A31C3E" w:rsidP="00A31C3E">
      <w:pPr>
        <w:spacing w:line="0" w:lineRule="atLeast"/>
        <w:rPr>
          <w:rFonts w:asciiTheme="majorEastAsia" w:eastAsiaTheme="majorEastAsia" w:hAnsiTheme="majorEastAsia" w:cs="Meiryo UI"/>
          <w:sz w:val="24"/>
        </w:rPr>
      </w:pPr>
      <w:r>
        <w:rPr>
          <w:rFonts w:asciiTheme="majorEastAsia" w:eastAsiaTheme="majorEastAsia" w:hAnsiTheme="majorEastAsia" w:cs="Meiryo UI" w:hint="eastAsia"/>
          <w:sz w:val="24"/>
        </w:rPr>
        <w:t>≪</w:t>
      </w:r>
      <w:r w:rsidR="003B6932" w:rsidRPr="00B96FF4">
        <w:rPr>
          <w:rFonts w:asciiTheme="majorEastAsia" w:eastAsiaTheme="majorEastAsia" w:hAnsiTheme="majorEastAsia" w:cs="Meiryo UI" w:hint="eastAsia"/>
          <w:sz w:val="24"/>
        </w:rPr>
        <w:t>指数の特徴</w:t>
      </w:r>
      <w:r>
        <w:rPr>
          <w:rFonts w:asciiTheme="majorEastAsia" w:eastAsiaTheme="majorEastAsia" w:hAnsiTheme="majorEastAsia" w:cs="Meiryo UI" w:hint="eastAsia"/>
          <w:sz w:val="24"/>
        </w:rPr>
        <w:t>≫</w:t>
      </w:r>
    </w:p>
    <w:tbl>
      <w:tblPr>
        <w:tblStyle w:val="a8"/>
        <w:tblW w:w="15417" w:type="dxa"/>
        <w:tblLook w:val="04A0" w:firstRow="1" w:lastRow="0" w:firstColumn="1" w:lastColumn="0" w:noHBand="0" w:noVBand="1"/>
      </w:tblPr>
      <w:tblGrid>
        <w:gridCol w:w="2235"/>
        <w:gridCol w:w="13182"/>
      </w:tblGrid>
      <w:tr w:rsidR="00B96FF4" w:rsidRPr="00B96FF4" w14:paraId="14EB5770" w14:textId="77777777" w:rsidTr="00873BE4">
        <w:tc>
          <w:tcPr>
            <w:tcW w:w="2235" w:type="dxa"/>
            <w:shd w:val="pct25" w:color="auto" w:fill="auto"/>
            <w:vAlign w:val="center"/>
          </w:tcPr>
          <w:p w14:paraId="746B4DA3" w14:textId="77777777" w:rsidR="00350193" w:rsidRPr="00BC078C" w:rsidRDefault="00350193" w:rsidP="00035E53">
            <w:pPr>
              <w:pStyle w:val="Web"/>
              <w:spacing w:before="0" w:beforeAutospacing="0" w:after="0" w:afterAutospacing="0"/>
              <w:jc w:val="center"/>
              <w:rPr>
                <w:rFonts w:asciiTheme="majorEastAsia" w:eastAsiaTheme="majorEastAsia" w:hAnsiTheme="majorEastAsia"/>
                <w:sz w:val="20"/>
              </w:rPr>
            </w:pPr>
            <w:r w:rsidRPr="00BC078C">
              <w:rPr>
                <w:rFonts w:asciiTheme="majorEastAsia" w:eastAsiaTheme="majorEastAsia" w:hAnsiTheme="majorEastAsia" w:cs="Meiryo UI" w:hint="eastAsia"/>
                <w:kern w:val="24"/>
                <w:sz w:val="20"/>
                <w:szCs w:val="20"/>
              </w:rPr>
              <w:t>対象指数</w:t>
            </w:r>
          </w:p>
        </w:tc>
        <w:tc>
          <w:tcPr>
            <w:tcW w:w="13182" w:type="dxa"/>
            <w:shd w:val="pct25" w:color="auto" w:fill="auto"/>
            <w:vAlign w:val="center"/>
          </w:tcPr>
          <w:p w14:paraId="538E4B4B" w14:textId="7DECE63F" w:rsidR="00350193" w:rsidRPr="00BC078C" w:rsidRDefault="00350193" w:rsidP="00035E53">
            <w:pPr>
              <w:pStyle w:val="Web"/>
              <w:spacing w:before="0" w:beforeAutospacing="0" w:after="0" w:afterAutospacing="0"/>
              <w:jc w:val="center"/>
              <w:rPr>
                <w:rFonts w:asciiTheme="majorEastAsia" w:eastAsiaTheme="majorEastAsia" w:hAnsiTheme="majorEastAsia"/>
                <w:sz w:val="20"/>
              </w:rPr>
            </w:pPr>
            <w:r w:rsidRPr="00BC078C">
              <w:rPr>
                <w:rFonts w:asciiTheme="majorEastAsia" w:eastAsiaTheme="majorEastAsia" w:hAnsiTheme="majorEastAsia" w:cs="Meiryo UI" w:hint="eastAsia"/>
                <w:kern w:val="24"/>
                <w:sz w:val="20"/>
                <w:szCs w:val="20"/>
              </w:rPr>
              <w:t>指数の特徴</w:t>
            </w:r>
          </w:p>
        </w:tc>
      </w:tr>
      <w:tr w:rsidR="00B96FF4" w:rsidRPr="00B96FF4" w14:paraId="5186BDAE" w14:textId="77777777" w:rsidTr="00873BE4">
        <w:tc>
          <w:tcPr>
            <w:tcW w:w="2235" w:type="dxa"/>
            <w:vAlign w:val="center"/>
          </w:tcPr>
          <w:p w14:paraId="23861957" w14:textId="77777777" w:rsidR="00350193" w:rsidRPr="00140CDC" w:rsidRDefault="00350193" w:rsidP="00350193">
            <w:pPr>
              <w:pStyle w:val="Web"/>
              <w:spacing w:before="0" w:beforeAutospacing="0" w:after="0" w:afterAutospacing="0"/>
              <w:jc w:val="center"/>
              <w:rPr>
                <w:rFonts w:asciiTheme="majorEastAsia" w:eastAsiaTheme="majorEastAsia" w:hAnsiTheme="majorEastAsia"/>
                <w:sz w:val="20"/>
                <w:szCs w:val="20"/>
              </w:rPr>
            </w:pPr>
            <w:r w:rsidRPr="00140CDC">
              <w:rPr>
                <w:rFonts w:asciiTheme="majorEastAsia" w:eastAsiaTheme="majorEastAsia" w:hAnsiTheme="majorEastAsia" w:cs="Meiryo UI" w:hint="eastAsia"/>
                <w:kern w:val="24"/>
                <w:sz w:val="20"/>
                <w:szCs w:val="20"/>
              </w:rPr>
              <w:t>日経225</w:t>
            </w:r>
          </w:p>
        </w:tc>
        <w:tc>
          <w:tcPr>
            <w:tcW w:w="13182" w:type="dxa"/>
            <w:vAlign w:val="center"/>
          </w:tcPr>
          <w:p w14:paraId="6A86D42D" w14:textId="3EF6830D" w:rsidR="00350193" w:rsidRPr="00140CDC" w:rsidRDefault="00234FC3" w:rsidP="00234FC3">
            <w:pPr>
              <w:pStyle w:val="a3"/>
              <w:numPr>
                <w:ilvl w:val="0"/>
                <w:numId w:val="7"/>
              </w:numPr>
              <w:tabs>
                <w:tab w:val="left" w:pos="317"/>
              </w:tabs>
              <w:spacing w:line="0" w:lineRule="atLeast"/>
              <w:ind w:leftChars="0" w:left="317" w:hanging="317"/>
              <w:rPr>
                <w:rFonts w:asciiTheme="majorEastAsia" w:eastAsiaTheme="majorEastAsia" w:hAnsiTheme="majorEastAsia" w:cs="Meiryo UI"/>
                <w:kern w:val="24"/>
                <w:sz w:val="20"/>
                <w:szCs w:val="20"/>
              </w:rPr>
            </w:pPr>
            <w:r w:rsidRPr="00560B26">
              <w:rPr>
                <w:rFonts w:asciiTheme="majorEastAsia" w:eastAsiaTheme="majorEastAsia" w:hAnsiTheme="majorEastAsia" w:cs="Meiryo UI" w:hint="eastAsia"/>
                <w:sz w:val="20"/>
                <w:szCs w:val="20"/>
              </w:rPr>
              <w:t>東京証券取引所</w:t>
            </w:r>
            <w:r w:rsidR="001E0BFE" w:rsidRPr="00985807">
              <w:rPr>
                <w:rFonts w:asciiTheme="majorEastAsia" w:eastAsiaTheme="majorEastAsia" w:hAnsiTheme="majorEastAsia" w:cs="Meiryo UI" w:hint="eastAsia"/>
                <w:sz w:val="20"/>
                <w:szCs w:val="20"/>
              </w:rPr>
              <w:t>プライム</w:t>
            </w:r>
            <w:r w:rsidR="00960D88" w:rsidRPr="00985807">
              <w:rPr>
                <w:rFonts w:asciiTheme="majorEastAsia" w:eastAsiaTheme="majorEastAsia" w:hAnsiTheme="majorEastAsia" w:cs="Meiryo UI" w:hint="eastAsia"/>
                <w:sz w:val="20"/>
                <w:szCs w:val="20"/>
              </w:rPr>
              <w:t>市場</w:t>
            </w:r>
            <w:r w:rsidR="001E0BFE" w:rsidRPr="00985807">
              <w:rPr>
                <w:rFonts w:asciiTheme="majorEastAsia" w:eastAsiaTheme="majorEastAsia" w:hAnsiTheme="majorEastAsia" w:cs="Meiryo UI" w:hint="eastAsia"/>
                <w:sz w:val="20"/>
                <w:szCs w:val="20"/>
              </w:rPr>
              <w:t>に</w:t>
            </w:r>
            <w:r w:rsidRPr="00985807">
              <w:rPr>
                <w:rFonts w:asciiTheme="majorEastAsia" w:eastAsiaTheme="majorEastAsia" w:hAnsiTheme="majorEastAsia" w:cs="Meiryo UI" w:hint="eastAsia"/>
                <w:sz w:val="20"/>
                <w:szCs w:val="20"/>
              </w:rPr>
              <w:t>上場</w:t>
            </w:r>
            <w:r w:rsidR="001E0BFE" w:rsidRPr="00985807">
              <w:rPr>
                <w:rFonts w:asciiTheme="majorEastAsia" w:eastAsiaTheme="majorEastAsia" w:hAnsiTheme="majorEastAsia" w:cs="Meiryo UI" w:hint="eastAsia"/>
                <w:sz w:val="20"/>
                <w:szCs w:val="20"/>
              </w:rPr>
              <w:t>す</w:t>
            </w:r>
            <w:r w:rsidR="001E0BFE">
              <w:rPr>
                <w:rFonts w:asciiTheme="majorEastAsia" w:eastAsiaTheme="majorEastAsia" w:hAnsiTheme="majorEastAsia" w:cs="Meiryo UI" w:hint="eastAsia"/>
                <w:sz w:val="20"/>
                <w:szCs w:val="20"/>
              </w:rPr>
              <w:t>る</w:t>
            </w:r>
            <w:r w:rsidRPr="00140CDC">
              <w:rPr>
                <w:rFonts w:asciiTheme="majorEastAsia" w:eastAsiaTheme="majorEastAsia" w:hAnsiTheme="majorEastAsia" w:cs="Meiryo UI" w:hint="eastAsia"/>
                <w:sz w:val="20"/>
                <w:szCs w:val="20"/>
              </w:rPr>
              <w:t>銘柄のうち代表的な225銘柄の平均株価指数であり、わが国の株式市場全体の動向を示す指標（株式指数）の一つです。</w:t>
            </w:r>
          </w:p>
        </w:tc>
      </w:tr>
      <w:tr w:rsidR="00350193" w:rsidRPr="00B96FF4" w14:paraId="74DCA09E" w14:textId="77777777" w:rsidTr="0046454F">
        <w:trPr>
          <w:trHeight w:val="639"/>
        </w:trPr>
        <w:tc>
          <w:tcPr>
            <w:tcW w:w="2235" w:type="dxa"/>
            <w:vAlign w:val="center"/>
          </w:tcPr>
          <w:p w14:paraId="3927954D" w14:textId="77777777" w:rsidR="00350193" w:rsidRPr="00140CDC" w:rsidRDefault="00350193" w:rsidP="00350193">
            <w:pPr>
              <w:pStyle w:val="Web"/>
              <w:spacing w:before="0" w:beforeAutospacing="0" w:after="0" w:afterAutospacing="0"/>
              <w:jc w:val="center"/>
              <w:rPr>
                <w:rFonts w:asciiTheme="majorEastAsia" w:eastAsiaTheme="majorEastAsia" w:hAnsiTheme="majorEastAsia"/>
                <w:sz w:val="20"/>
                <w:szCs w:val="20"/>
              </w:rPr>
            </w:pPr>
            <w:r w:rsidRPr="00140CDC">
              <w:rPr>
                <w:rFonts w:asciiTheme="majorEastAsia" w:eastAsiaTheme="majorEastAsia" w:hAnsiTheme="majorEastAsia" w:cs="Meiryo UI" w:hint="eastAsia"/>
                <w:kern w:val="24"/>
                <w:sz w:val="20"/>
                <w:szCs w:val="20"/>
              </w:rPr>
              <w:t>S&amp;P500</w:t>
            </w:r>
          </w:p>
        </w:tc>
        <w:tc>
          <w:tcPr>
            <w:tcW w:w="13182" w:type="dxa"/>
            <w:vAlign w:val="center"/>
          </w:tcPr>
          <w:p w14:paraId="3E9783B0" w14:textId="63829CCC" w:rsidR="00234FC3" w:rsidRPr="00140CDC" w:rsidRDefault="00234FC3" w:rsidP="00234FC3">
            <w:pPr>
              <w:pStyle w:val="a3"/>
              <w:numPr>
                <w:ilvl w:val="0"/>
                <w:numId w:val="7"/>
              </w:numPr>
              <w:spacing w:line="0" w:lineRule="atLeast"/>
              <w:ind w:leftChars="0"/>
              <w:rPr>
                <w:rFonts w:asciiTheme="majorEastAsia" w:eastAsiaTheme="majorEastAsia" w:hAnsiTheme="majorEastAsia"/>
                <w:sz w:val="20"/>
                <w:szCs w:val="20"/>
              </w:rPr>
            </w:pPr>
            <w:r w:rsidRPr="00140CDC">
              <w:rPr>
                <w:rFonts w:asciiTheme="majorEastAsia" w:eastAsiaTheme="majorEastAsia" w:hAnsiTheme="majorEastAsia" w:hint="eastAsia"/>
                <w:sz w:val="20"/>
                <w:szCs w:val="20"/>
              </w:rPr>
              <w:t>投資情報会社であるS&amp;Pダウ・ジョーンズインデックス社が算出している米国の代表的な株式指数です。</w:t>
            </w:r>
          </w:p>
          <w:p w14:paraId="55A3D32C" w14:textId="77777777" w:rsidR="00234FC3" w:rsidRPr="00140CDC" w:rsidRDefault="00D0654A" w:rsidP="00D0654A">
            <w:pPr>
              <w:pStyle w:val="a3"/>
              <w:numPr>
                <w:ilvl w:val="0"/>
                <w:numId w:val="7"/>
              </w:numPr>
              <w:spacing w:line="0" w:lineRule="atLeast"/>
              <w:ind w:leftChars="0"/>
              <w:rPr>
                <w:rFonts w:asciiTheme="majorEastAsia" w:eastAsiaTheme="majorEastAsia" w:hAnsiTheme="majorEastAsia"/>
                <w:sz w:val="20"/>
                <w:szCs w:val="20"/>
              </w:rPr>
            </w:pPr>
            <w:r w:rsidRPr="00140CDC">
              <w:rPr>
                <w:rFonts w:asciiTheme="majorEastAsia" w:eastAsiaTheme="majorEastAsia" w:hAnsiTheme="majorEastAsia" w:hint="eastAsia"/>
                <w:sz w:val="20"/>
                <w:szCs w:val="20"/>
              </w:rPr>
              <w:t>米国の証券取引所に上場している代表的な約500銘柄の株価を基に算出しています。</w:t>
            </w:r>
          </w:p>
          <w:p w14:paraId="08E92FD4" w14:textId="77777777" w:rsidR="00350193" w:rsidRPr="00140CDC" w:rsidRDefault="00234FC3" w:rsidP="00234FC3">
            <w:pPr>
              <w:pStyle w:val="a3"/>
              <w:numPr>
                <w:ilvl w:val="0"/>
                <w:numId w:val="7"/>
              </w:numPr>
              <w:spacing w:line="0" w:lineRule="atLeast"/>
              <w:ind w:leftChars="0"/>
              <w:rPr>
                <w:rFonts w:asciiTheme="majorEastAsia" w:eastAsiaTheme="majorEastAsia" w:hAnsiTheme="majorEastAsia"/>
                <w:sz w:val="20"/>
                <w:szCs w:val="20"/>
              </w:rPr>
            </w:pPr>
            <w:r w:rsidRPr="00140CDC">
              <w:rPr>
                <w:rFonts w:asciiTheme="majorEastAsia" w:eastAsiaTheme="majorEastAsia" w:hAnsiTheme="majorEastAsia" w:hint="eastAsia"/>
                <w:sz w:val="20"/>
                <w:szCs w:val="20"/>
              </w:rPr>
              <w:t>S&amp;P500指数に採用されている銘柄の時価総額は、米国の株式市場全体の約80％をカバーしており、米国経済の動向を示す代表的な指標として知られています</w:t>
            </w:r>
            <w:r w:rsidR="00157F3F" w:rsidRPr="00140CDC">
              <w:rPr>
                <w:rFonts w:asciiTheme="majorEastAsia" w:eastAsiaTheme="majorEastAsia" w:hAnsiTheme="majorEastAsia" w:hint="eastAsia"/>
                <w:sz w:val="20"/>
                <w:szCs w:val="20"/>
              </w:rPr>
              <w:t>。</w:t>
            </w:r>
          </w:p>
        </w:tc>
      </w:tr>
    </w:tbl>
    <w:p w14:paraId="4F0ACDFA" w14:textId="77777777" w:rsidR="00446EB0" w:rsidRDefault="00446EB0" w:rsidP="00F15205">
      <w:pPr>
        <w:pStyle w:val="ab"/>
        <w:ind w:right="240"/>
      </w:pPr>
    </w:p>
    <w:p w14:paraId="6C8CBDF8" w14:textId="77777777" w:rsidR="00873BE4" w:rsidRDefault="0046454F" w:rsidP="00446EB0">
      <w:pPr>
        <w:spacing w:line="0" w:lineRule="atLeast"/>
        <w:jc w:val="right"/>
        <w:rPr>
          <w:rFonts w:asciiTheme="majorEastAsia" w:eastAsiaTheme="majorEastAsia" w:hAnsiTheme="majorEastAsia" w:cs="Meiryo UI"/>
          <w:sz w:val="24"/>
        </w:rPr>
      </w:pPr>
      <w:r>
        <w:rPr>
          <w:rFonts w:hint="eastAsia"/>
          <w:noProof/>
        </w:rPr>
        <mc:AlternateContent>
          <mc:Choice Requires="wps">
            <w:drawing>
              <wp:anchor distT="0" distB="0" distL="114300" distR="114300" simplePos="0" relativeHeight="251659264" behindDoc="0" locked="0" layoutInCell="1" allowOverlap="1" wp14:anchorId="106F20C6" wp14:editId="12491417">
                <wp:simplePos x="0" y="0"/>
                <wp:positionH relativeFrom="column">
                  <wp:posOffset>-121285</wp:posOffset>
                </wp:positionH>
                <wp:positionV relativeFrom="paragraph">
                  <wp:posOffset>635</wp:posOffset>
                </wp:positionV>
                <wp:extent cx="9839325" cy="3779520"/>
                <wp:effectExtent l="0" t="0" r="28575" b="11430"/>
                <wp:wrapNone/>
                <wp:docPr id="2" name="テキスト ボックス 2"/>
                <wp:cNvGraphicFramePr/>
                <a:graphic xmlns:a="http://schemas.openxmlformats.org/drawingml/2006/main">
                  <a:graphicData uri="http://schemas.microsoft.com/office/word/2010/wordprocessingShape">
                    <wps:wsp>
                      <wps:cNvSpPr txBox="1"/>
                      <wps:spPr>
                        <a:xfrm>
                          <a:off x="0" y="0"/>
                          <a:ext cx="9839325" cy="3779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ADB920" w14:textId="77777777" w:rsidR="006339BD" w:rsidRPr="0046454F" w:rsidRDefault="006339BD" w:rsidP="006339BD">
                            <w:pPr>
                              <w:rPr>
                                <w:sz w:val="18"/>
                              </w:rPr>
                            </w:pPr>
                            <w:r w:rsidRPr="0046454F">
                              <w:rPr>
                                <w:rFonts w:hint="eastAsia"/>
                                <w:sz w:val="18"/>
                              </w:rPr>
                              <w:t>≪投資信託に関してご留意いただきたい事項≫</w:t>
                            </w:r>
                          </w:p>
                          <w:p w14:paraId="3BA3FE21" w14:textId="77777777" w:rsidR="006339BD" w:rsidRPr="0046454F" w:rsidRDefault="006339BD" w:rsidP="006339BD">
                            <w:pPr>
                              <w:rPr>
                                <w:sz w:val="18"/>
                              </w:rPr>
                            </w:pPr>
                            <w:r w:rsidRPr="0046454F">
                              <w:rPr>
                                <w:rFonts w:hint="eastAsia"/>
                                <w:sz w:val="18"/>
                              </w:rPr>
                              <w:t>○投資信託は預貯金とは異なり、元本の保証はありません。</w:t>
                            </w:r>
                          </w:p>
                          <w:p w14:paraId="1D591B6C" w14:textId="77777777" w:rsidR="006339BD" w:rsidRPr="0046454F" w:rsidRDefault="006339BD" w:rsidP="006339BD">
                            <w:pPr>
                              <w:rPr>
                                <w:sz w:val="18"/>
                              </w:rPr>
                            </w:pPr>
                            <w:r w:rsidRPr="0046454F">
                              <w:rPr>
                                <w:rFonts w:hint="eastAsia"/>
                                <w:sz w:val="18"/>
                              </w:rPr>
                              <w:t>○投資信託は預金保険・貯金保険の対象ではありません。</w:t>
                            </w:r>
                          </w:p>
                          <w:p w14:paraId="7E7DB321" w14:textId="77777777" w:rsidR="006339BD" w:rsidRPr="0046454F" w:rsidRDefault="006339BD" w:rsidP="006339BD">
                            <w:pPr>
                              <w:rPr>
                                <w:sz w:val="18"/>
                              </w:rPr>
                            </w:pPr>
                            <w:r w:rsidRPr="0046454F">
                              <w:rPr>
                                <w:rFonts w:hint="eastAsia"/>
                                <w:sz w:val="18"/>
                              </w:rPr>
                              <w:t>○ＪＡバンク</w:t>
                            </w:r>
                            <w:r w:rsidR="007026E7">
                              <w:rPr>
                                <w:rFonts w:hint="eastAsia"/>
                                <w:sz w:val="18"/>
                              </w:rPr>
                              <w:t>※</w:t>
                            </w:r>
                            <w:r w:rsidRPr="0046454F">
                              <w:rPr>
                                <w:rFonts w:hint="eastAsia"/>
                                <w:sz w:val="18"/>
                              </w:rPr>
                              <w:t>が取り扱う投資信託は、投資者保護基金の対象ではありません。</w:t>
                            </w:r>
                          </w:p>
                          <w:p w14:paraId="374E0255" w14:textId="77777777" w:rsidR="006339BD" w:rsidRPr="0046454F" w:rsidRDefault="006339BD" w:rsidP="006339BD">
                            <w:pPr>
                              <w:rPr>
                                <w:sz w:val="18"/>
                              </w:rPr>
                            </w:pPr>
                            <w:r w:rsidRPr="0046454F">
                              <w:rPr>
                                <w:rFonts w:hint="eastAsia"/>
                                <w:sz w:val="18"/>
                              </w:rPr>
                              <w:t>○ＪＡバンクは投資信託の販売会社であり、投資信託の設定・運用は投資信託会社が行います。</w:t>
                            </w:r>
                          </w:p>
                          <w:p w14:paraId="46BC4EC5" w14:textId="77777777" w:rsidR="006339BD" w:rsidRPr="0046454F" w:rsidRDefault="006339BD" w:rsidP="006339BD">
                            <w:pPr>
                              <w:rPr>
                                <w:sz w:val="18"/>
                              </w:rPr>
                            </w:pPr>
                            <w:r w:rsidRPr="0046454F">
                              <w:rPr>
                                <w:rFonts w:hint="eastAsia"/>
                                <w:sz w:val="18"/>
                              </w:rPr>
                              <w:t>○投資信託は国内外の有価証券等で運用されるため、信託財産に組み入れられた株式・債券・ＲＥＩＴ等の値動きや為替変動に伴うリスクがあります。このため、投資信託資産の価値が投資元本を下回るリスク等は、投資信託の購入者に帰属します。詳しくは、契約締結前交付書面、投資信託説明書（交付目論見書）でご確認ください。</w:t>
                            </w:r>
                          </w:p>
                          <w:p w14:paraId="4126B7E1" w14:textId="77777777" w:rsidR="006339BD" w:rsidRPr="0046454F" w:rsidRDefault="006339BD" w:rsidP="006339BD">
                            <w:pPr>
                              <w:rPr>
                                <w:sz w:val="18"/>
                              </w:rPr>
                            </w:pPr>
                            <w:r w:rsidRPr="0046454F">
                              <w:rPr>
                                <w:rFonts w:hint="eastAsia"/>
                                <w:sz w:val="18"/>
                              </w:rPr>
                              <w:t>○投資信託の運用による利益および損失は、投資信託の購入者に帰属します。</w:t>
                            </w:r>
                          </w:p>
                          <w:p w14:paraId="05690430" w14:textId="77777777" w:rsidR="006339BD" w:rsidRPr="0046454F" w:rsidRDefault="006339BD" w:rsidP="006339BD">
                            <w:pPr>
                              <w:rPr>
                                <w:sz w:val="18"/>
                              </w:rPr>
                            </w:pPr>
                            <w:r w:rsidRPr="0046454F">
                              <w:rPr>
                                <w:rFonts w:hint="eastAsia"/>
                                <w:sz w:val="18"/>
                              </w:rPr>
                              <w:t>○一部の投資信託には、特定日にしか換金できないものがあります。</w:t>
                            </w:r>
                          </w:p>
                          <w:p w14:paraId="28D269EC" w14:textId="77777777" w:rsidR="006339BD" w:rsidRPr="0046454F" w:rsidRDefault="006339BD" w:rsidP="006339BD">
                            <w:pPr>
                              <w:rPr>
                                <w:sz w:val="18"/>
                              </w:rPr>
                            </w:pPr>
                            <w:r w:rsidRPr="0046454F">
                              <w:rPr>
                                <w:rFonts w:hint="eastAsia"/>
                                <w:sz w:val="18"/>
                              </w:rPr>
                              <w:t>○投資信託の購入から換金・償還までの間に、直接または間接的にご負担いただく代表的な費用等には以下のものがあります。なお、これらの手数料等はファンド・購入金額等により異なるため、具体的な金額・計算方法を記載することができません。各投資信託の手数料等の詳細は契約締結前交付書面、投資信託説明書（交付目論見書）でご確認ください。</w:t>
                            </w:r>
                          </w:p>
                          <w:p w14:paraId="2B365D53" w14:textId="77777777" w:rsidR="006339BD" w:rsidRPr="0046454F" w:rsidRDefault="006339BD" w:rsidP="006339BD">
                            <w:pPr>
                              <w:rPr>
                                <w:sz w:val="18"/>
                              </w:rPr>
                            </w:pPr>
                            <w:r w:rsidRPr="0046454F">
                              <w:rPr>
                                <w:rFonts w:hint="eastAsia"/>
                                <w:sz w:val="18"/>
                              </w:rPr>
                              <w:t>・購入時：申込手数料がかかるファンドがあります。</w:t>
                            </w:r>
                          </w:p>
                          <w:p w14:paraId="5FA703C8" w14:textId="77777777" w:rsidR="006339BD" w:rsidRPr="0046454F" w:rsidRDefault="006339BD" w:rsidP="006339BD">
                            <w:pPr>
                              <w:rPr>
                                <w:sz w:val="18"/>
                              </w:rPr>
                            </w:pPr>
                            <w:r w:rsidRPr="0046454F">
                              <w:rPr>
                                <w:rFonts w:hint="eastAsia"/>
                                <w:sz w:val="18"/>
                              </w:rPr>
                              <w:t>・運用期間中：運用管理費用（信託報酬・管理報酬等）が日々信託財産から差し引かれます。</w:t>
                            </w:r>
                          </w:p>
                          <w:p w14:paraId="2548E633" w14:textId="77777777" w:rsidR="006339BD" w:rsidRPr="0046454F" w:rsidRDefault="006339BD" w:rsidP="006339BD">
                            <w:pPr>
                              <w:rPr>
                                <w:sz w:val="18"/>
                              </w:rPr>
                            </w:pPr>
                            <w:r w:rsidRPr="0046454F">
                              <w:rPr>
                                <w:rFonts w:hint="eastAsia"/>
                                <w:sz w:val="18"/>
                              </w:rPr>
                              <w:t>・換金時：信託財産留保額がかかるファンドがあります。また、外貨に両替して購入・換金するファンドには、上記の各種手数料等とは別に為替手数料がかかります。</w:t>
                            </w:r>
                          </w:p>
                          <w:p w14:paraId="78B4047F" w14:textId="77777777" w:rsidR="006339BD" w:rsidRDefault="006339BD" w:rsidP="006339BD">
                            <w:pPr>
                              <w:rPr>
                                <w:sz w:val="18"/>
                              </w:rPr>
                            </w:pPr>
                            <w:r w:rsidRPr="0046454F">
                              <w:rPr>
                                <w:rFonts w:hint="eastAsia"/>
                                <w:sz w:val="18"/>
                              </w:rPr>
                              <w:t>○お申込みにあたっては、契約締結前交付書面、投資信託説明書（交付目論見書）を十分お読みいただき、内容をご確認のうえ、ご自身でご判断ください。</w:t>
                            </w:r>
                          </w:p>
                          <w:p w14:paraId="2D1D7167" w14:textId="77777777" w:rsidR="007026E7" w:rsidRPr="0046454F" w:rsidRDefault="007026E7" w:rsidP="006339BD">
                            <w:pPr>
                              <w:rPr>
                                <w:sz w:val="18"/>
                              </w:rPr>
                            </w:pPr>
                            <w:r>
                              <w:rPr>
                                <w:rFonts w:hint="eastAsia"/>
                                <w:sz w:val="18"/>
                              </w:rPr>
                              <w:t>※</w:t>
                            </w:r>
                            <w:r w:rsidR="008A6379">
                              <w:rPr>
                                <w:rFonts w:hint="eastAsia"/>
                                <w:sz w:val="18"/>
                              </w:rPr>
                              <w:t>お客さまと取引のある農業協同組合および当該農業協同組合が所在する都道府県の信用農業協同組合連合会ならびに農林中央金庫を含めてＪＡバンク会員といいます。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6F20C6" id="_x0000_t202" coordsize="21600,21600" o:spt="202" path="m,l,21600r21600,l21600,xe">
                <v:stroke joinstyle="miter"/>
                <v:path gradientshapeok="t" o:connecttype="rect"/>
              </v:shapetype>
              <v:shape id="テキスト ボックス 2" o:spid="_x0000_s1026" type="#_x0000_t202" style="position:absolute;left:0;text-align:left;margin-left:-9.55pt;margin-top:.05pt;width:774.75pt;height:29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I1qtwIAAMQFAAAOAAAAZHJzL2Uyb0RvYy54bWysVM1u2zAMvg/YOwi6r85P0zZBnSJr0WFA&#10;0RZrh54VWWqMyqImKbGzYwMMe4i9wrDznscvMkp20qTrpcMuNil+pMhPJI9PqkKRhbAuB53S7l6H&#10;EqE5ZLm+T+nn2/N3R5Q4z3TGFGiR0qVw9GT89s1xaUaiBzNQmbAEg2g3Kk1KZ96bUZI4PhMFc3tg&#10;hEajBFswj6q9TzLLSoxeqKTX6RwkJdjMWODCOTw9a4x0HONLKbi/ktIJT1RKMTcfvzZ+p+GbjI/Z&#10;6N4yM8t5mwb7hywKlmu8dBPqjHlG5jb/K1SRcwsOpN/jUCQgZc5FrAGr6XaeVXMzY0bEWpAcZzY0&#10;uf8Xll8uri3Js5T2KNGswCeqV9/qx5/14+969Z3Uqx/1alU//kKd9AJdpXEj9Lox6Oer91Dhs6/P&#10;HR4GFippi/DH+gjakfjlhmxRecLxcHjUH/Z7A0o42vqHh8NBLz5H8uRurPMfBBQkCCm1+JqRZLa4&#10;cB5TQegaEm5zoPLsPFcqKqGDxKmyZMHw7ZWPSaLHDkppUqb0oD/oxMA7thB64z9VjD+EMncjoKZ0&#10;uE7EXmvTChQ1VETJL5UIGKU/CYlcR0ZeyJFxLvQmz4gOKIkVvcaxxT9l9Rrnpg70iDeD9hvnItdg&#10;G5Z2qc0e1tTKBo8kbdUdRF9Nq7Z1ppAtsXMsNKPoDD/PkegL5vw1szh72Cy4T/wVfqQCfB1oJUpm&#10;YL++dB7wOBJopaTEWU6p+zJnVlCiPmoclmF3fz8Mf1T2B4fYaMRuW6bbFj0vTgFbpouby/AoBrxX&#10;a1FaKO5w7UzCrWhimuPdKfVr8dQ3GwbXFheTSQThuBvmL/SN4SF0oDc02G11x6xpG9zjbFzCeurZ&#10;6FmfN9jgqWEy9yDzOASB4IbVlnhcFbFP27UWdtG2HlFPy3f8BwAA//8DAFBLAwQUAAYACAAAACEA&#10;QShdidwAAAAJAQAADwAAAGRycy9kb3ducmV2LnhtbEyPwU7DMBBE70j8g7VI3FonlKAkxKkAFS6c&#10;WhDnbby1LWI7it00/D3OCY6rN5p522xn27OJxmC8E5CvM2DkOi+NUwI+P15XJbAQ0UnsvSMBPxRg&#10;215fNVhLf3F7mg5RsVTiQo0CdIxDzXnoNFkMaz+QS+zkR4sxnaPicsRLKrc9v8uyB27RuLSgcaAX&#10;Td334WwF7J5VpboSR70rpTHT/HV6V29C3N7MT4/AIs3xLwyLflKHNjkd/dnJwHoBq7zKU3QBbMHF&#10;JrsHdhRQVMUGeNvw/x+0vwAAAP//AwBQSwECLQAUAAYACAAAACEAtoM4kv4AAADhAQAAEwAAAAAA&#10;AAAAAAAAAAAAAAAAW0NvbnRlbnRfVHlwZXNdLnhtbFBLAQItABQABgAIAAAAIQA4/SH/1gAAAJQB&#10;AAALAAAAAAAAAAAAAAAAAC8BAABfcmVscy8ucmVsc1BLAQItABQABgAIAAAAIQDKcI1qtwIAAMQF&#10;AAAOAAAAAAAAAAAAAAAAAC4CAABkcnMvZTJvRG9jLnhtbFBLAQItABQABgAIAAAAIQBBKF2J3AAA&#10;AAkBAAAPAAAAAAAAAAAAAAAAABEFAABkcnMvZG93bnJldi54bWxQSwUGAAAAAAQABADzAAAAGgYA&#10;AAAA&#10;" fillcolor="white [3201]" strokeweight=".5pt">
                <v:textbox>
                  <w:txbxContent>
                    <w:p w14:paraId="78ADB920" w14:textId="77777777" w:rsidR="006339BD" w:rsidRPr="0046454F" w:rsidRDefault="006339BD" w:rsidP="006339BD">
                      <w:pPr>
                        <w:rPr>
                          <w:sz w:val="18"/>
                        </w:rPr>
                      </w:pPr>
                      <w:r w:rsidRPr="0046454F">
                        <w:rPr>
                          <w:rFonts w:hint="eastAsia"/>
                          <w:sz w:val="18"/>
                        </w:rPr>
                        <w:t>≪投資信託に関してご留意いただきたい事項≫</w:t>
                      </w:r>
                    </w:p>
                    <w:p w14:paraId="3BA3FE21" w14:textId="77777777" w:rsidR="006339BD" w:rsidRPr="0046454F" w:rsidRDefault="006339BD" w:rsidP="006339BD">
                      <w:pPr>
                        <w:rPr>
                          <w:sz w:val="18"/>
                        </w:rPr>
                      </w:pPr>
                      <w:r w:rsidRPr="0046454F">
                        <w:rPr>
                          <w:rFonts w:hint="eastAsia"/>
                          <w:sz w:val="18"/>
                        </w:rPr>
                        <w:t>○投資信託は預貯金とは異なり、元本の保証はありません。</w:t>
                      </w:r>
                    </w:p>
                    <w:p w14:paraId="1D591B6C" w14:textId="77777777" w:rsidR="006339BD" w:rsidRPr="0046454F" w:rsidRDefault="006339BD" w:rsidP="006339BD">
                      <w:pPr>
                        <w:rPr>
                          <w:sz w:val="18"/>
                        </w:rPr>
                      </w:pPr>
                      <w:r w:rsidRPr="0046454F">
                        <w:rPr>
                          <w:rFonts w:hint="eastAsia"/>
                          <w:sz w:val="18"/>
                        </w:rPr>
                        <w:t>○投資信託は預金保険・貯金保険の対象ではありません。</w:t>
                      </w:r>
                    </w:p>
                    <w:p w14:paraId="7E7DB321" w14:textId="77777777" w:rsidR="006339BD" w:rsidRPr="0046454F" w:rsidRDefault="006339BD" w:rsidP="006339BD">
                      <w:pPr>
                        <w:rPr>
                          <w:sz w:val="18"/>
                        </w:rPr>
                      </w:pPr>
                      <w:r w:rsidRPr="0046454F">
                        <w:rPr>
                          <w:rFonts w:hint="eastAsia"/>
                          <w:sz w:val="18"/>
                        </w:rPr>
                        <w:t>○ＪＡバンク</w:t>
                      </w:r>
                      <w:r w:rsidR="007026E7">
                        <w:rPr>
                          <w:rFonts w:hint="eastAsia"/>
                          <w:sz w:val="18"/>
                        </w:rPr>
                        <w:t>※</w:t>
                      </w:r>
                      <w:r w:rsidRPr="0046454F">
                        <w:rPr>
                          <w:rFonts w:hint="eastAsia"/>
                          <w:sz w:val="18"/>
                        </w:rPr>
                        <w:t>が取り扱う投資信託は、投資者保護基金の対象ではありません。</w:t>
                      </w:r>
                    </w:p>
                    <w:p w14:paraId="374E0255" w14:textId="77777777" w:rsidR="006339BD" w:rsidRPr="0046454F" w:rsidRDefault="006339BD" w:rsidP="006339BD">
                      <w:pPr>
                        <w:rPr>
                          <w:sz w:val="18"/>
                        </w:rPr>
                      </w:pPr>
                      <w:r w:rsidRPr="0046454F">
                        <w:rPr>
                          <w:rFonts w:hint="eastAsia"/>
                          <w:sz w:val="18"/>
                        </w:rPr>
                        <w:t>○ＪＡバンクは投資信託の販売会社であり、投資信託の設定・運用は投資信託会社が行います。</w:t>
                      </w:r>
                    </w:p>
                    <w:p w14:paraId="46BC4EC5" w14:textId="77777777" w:rsidR="006339BD" w:rsidRPr="0046454F" w:rsidRDefault="006339BD" w:rsidP="006339BD">
                      <w:pPr>
                        <w:rPr>
                          <w:sz w:val="18"/>
                        </w:rPr>
                      </w:pPr>
                      <w:r w:rsidRPr="0046454F">
                        <w:rPr>
                          <w:rFonts w:hint="eastAsia"/>
                          <w:sz w:val="18"/>
                        </w:rPr>
                        <w:t>○投資信託は国内外の有価証券等で運用されるため、信託財産に組み入れられた株式・債券・ＲＥＩＴ等の値動きや為替変動に伴うリスクがあります。このため、投資信託資産の価値が投資元本を下回るリスク等は、投資信託の購入者に帰属します。詳しくは、契約締結前交付書面、投資信託説明書（交付目論見書）でご確認ください。</w:t>
                      </w:r>
                    </w:p>
                    <w:p w14:paraId="4126B7E1" w14:textId="77777777" w:rsidR="006339BD" w:rsidRPr="0046454F" w:rsidRDefault="006339BD" w:rsidP="006339BD">
                      <w:pPr>
                        <w:rPr>
                          <w:sz w:val="18"/>
                        </w:rPr>
                      </w:pPr>
                      <w:r w:rsidRPr="0046454F">
                        <w:rPr>
                          <w:rFonts w:hint="eastAsia"/>
                          <w:sz w:val="18"/>
                        </w:rPr>
                        <w:t>○投資信託の運用による利益および損失は、投資信託の購入者に帰属します。</w:t>
                      </w:r>
                    </w:p>
                    <w:p w14:paraId="05690430" w14:textId="77777777" w:rsidR="006339BD" w:rsidRPr="0046454F" w:rsidRDefault="006339BD" w:rsidP="006339BD">
                      <w:pPr>
                        <w:rPr>
                          <w:sz w:val="18"/>
                        </w:rPr>
                      </w:pPr>
                      <w:r w:rsidRPr="0046454F">
                        <w:rPr>
                          <w:rFonts w:hint="eastAsia"/>
                          <w:sz w:val="18"/>
                        </w:rPr>
                        <w:t>○一部の投資信託には、特定日にしか換金できないものがあります。</w:t>
                      </w:r>
                    </w:p>
                    <w:p w14:paraId="28D269EC" w14:textId="77777777" w:rsidR="006339BD" w:rsidRPr="0046454F" w:rsidRDefault="006339BD" w:rsidP="006339BD">
                      <w:pPr>
                        <w:rPr>
                          <w:sz w:val="18"/>
                        </w:rPr>
                      </w:pPr>
                      <w:r w:rsidRPr="0046454F">
                        <w:rPr>
                          <w:rFonts w:hint="eastAsia"/>
                          <w:sz w:val="18"/>
                        </w:rPr>
                        <w:t>○投資信託の購入から換金・償還までの間に、直接または間接的にご負担いただく代表的な費用等には以下のものがあります。なお、これらの手数料等はファンド・購入金額等により異なるため、具体的な金額・計算方法を記載することができません。各投資信託の手数料等の詳細は契約締結前交付書面、投資信託説明書（交付目論見書）でご確認ください。</w:t>
                      </w:r>
                    </w:p>
                    <w:p w14:paraId="2B365D53" w14:textId="77777777" w:rsidR="006339BD" w:rsidRPr="0046454F" w:rsidRDefault="006339BD" w:rsidP="006339BD">
                      <w:pPr>
                        <w:rPr>
                          <w:sz w:val="18"/>
                        </w:rPr>
                      </w:pPr>
                      <w:r w:rsidRPr="0046454F">
                        <w:rPr>
                          <w:rFonts w:hint="eastAsia"/>
                          <w:sz w:val="18"/>
                        </w:rPr>
                        <w:t>・購入時：申込手数料がかかるファンドがあります。</w:t>
                      </w:r>
                    </w:p>
                    <w:p w14:paraId="5FA703C8" w14:textId="77777777" w:rsidR="006339BD" w:rsidRPr="0046454F" w:rsidRDefault="006339BD" w:rsidP="006339BD">
                      <w:pPr>
                        <w:rPr>
                          <w:sz w:val="18"/>
                        </w:rPr>
                      </w:pPr>
                      <w:r w:rsidRPr="0046454F">
                        <w:rPr>
                          <w:rFonts w:hint="eastAsia"/>
                          <w:sz w:val="18"/>
                        </w:rPr>
                        <w:t>・運用期間中：運用管理費用（信託報酬・管理報酬等）が日々信託財産から差し引かれます。</w:t>
                      </w:r>
                    </w:p>
                    <w:p w14:paraId="2548E633" w14:textId="77777777" w:rsidR="006339BD" w:rsidRPr="0046454F" w:rsidRDefault="006339BD" w:rsidP="006339BD">
                      <w:pPr>
                        <w:rPr>
                          <w:sz w:val="18"/>
                        </w:rPr>
                      </w:pPr>
                      <w:r w:rsidRPr="0046454F">
                        <w:rPr>
                          <w:rFonts w:hint="eastAsia"/>
                          <w:sz w:val="18"/>
                        </w:rPr>
                        <w:t>・換金時：信託財産留保額がかかるファンドがあります。また、外貨に両替して購入・換金するファンドには、上記の各種手数料等とは別に為替手数料がかかります。</w:t>
                      </w:r>
                    </w:p>
                    <w:p w14:paraId="78B4047F" w14:textId="77777777" w:rsidR="006339BD" w:rsidRDefault="006339BD" w:rsidP="006339BD">
                      <w:pPr>
                        <w:rPr>
                          <w:sz w:val="18"/>
                        </w:rPr>
                      </w:pPr>
                      <w:r w:rsidRPr="0046454F">
                        <w:rPr>
                          <w:rFonts w:hint="eastAsia"/>
                          <w:sz w:val="18"/>
                        </w:rPr>
                        <w:t>○お申込みにあたっては、契約締結前交付書面、投資信託説明書（交付目論見書）を十分お読みいただき、内容をご確認のうえ、ご自身でご判断ください。</w:t>
                      </w:r>
                    </w:p>
                    <w:p w14:paraId="2D1D7167" w14:textId="77777777" w:rsidR="007026E7" w:rsidRPr="0046454F" w:rsidRDefault="007026E7" w:rsidP="006339BD">
                      <w:pPr>
                        <w:rPr>
                          <w:sz w:val="18"/>
                        </w:rPr>
                      </w:pPr>
                      <w:r>
                        <w:rPr>
                          <w:rFonts w:hint="eastAsia"/>
                          <w:sz w:val="18"/>
                        </w:rPr>
                        <w:t>※</w:t>
                      </w:r>
                      <w:r w:rsidR="008A6379">
                        <w:rPr>
                          <w:rFonts w:hint="eastAsia"/>
                          <w:sz w:val="18"/>
                        </w:rPr>
                        <w:t>お客さまと取引のある農業協同組合および当該農業協同組合が所在する都道府県の信用農業協同組合連合会ならびに農林中央金庫を含めてＪＡバンク会員といいます。</w:t>
                      </w:r>
                    </w:p>
                  </w:txbxContent>
                </v:textbox>
              </v:shape>
            </w:pict>
          </mc:Fallback>
        </mc:AlternateContent>
      </w:r>
    </w:p>
    <w:p w14:paraId="6E60BE3D" w14:textId="77777777" w:rsidR="00873BE4" w:rsidRPr="00054C8F" w:rsidRDefault="00873BE4" w:rsidP="00446EB0">
      <w:pPr>
        <w:spacing w:line="0" w:lineRule="atLeast"/>
        <w:jc w:val="right"/>
        <w:rPr>
          <w:rFonts w:asciiTheme="majorEastAsia" w:eastAsiaTheme="majorEastAsia" w:hAnsiTheme="majorEastAsia" w:cs="Meiryo UI"/>
          <w:sz w:val="24"/>
        </w:rPr>
      </w:pPr>
    </w:p>
    <w:sectPr w:rsidR="00873BE4" w:rsidRPr="00054C8F" w:rsidSect="00873BE4">
      <w:pgSz w:w="16838" w:h="11906" w:orient="landscape"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70EA76" w14:textId="77777777" w:rsidR="00373A48" w:rsidRDefault="00373A48" w:rsidP="00C5255D">
      <w:r>
        <w:separator/>
      </w:r>
    </w:p>
  </w:endnote>
  <w:endnote w:type="continuationSeparator" w:id="0">
    <w:p w14:paraId="29AA6788" w14:textId="77777777" w:rsidR="00373A48" w:rsidRDefault="00373A48" w:rsidP="00C52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466C3" w14:textId="77777777" w:rsidR="00373A48" w:rsidRDefault="00373A48" w:rsidP="00C5255D">
      <w:r>
        <w:separator/>
      </w:r>
    </w:p>
  </w:footnote>
  <w:footnote w:type="continuationSeparator" w:id="0">
    <w:p w14:paraId="2A21F099" w14:textId="77777777" w:rsidR="00373A48" w:rsidRDefault="00373A48" w:rsidP="00C525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0701E"/>
    <w:multiLevelType w:val="hybridMultilevel"/>
    <w:tmpl w:val="DDD6D85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B126C4"/>
    <w:multiLevelType w:val="hybridMultilevel"/>
    <w:tmpl w:val="AF8ADAF4"/>
    <w:lvl w:ilvl="0" w:tplc="ED42BEF0">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811AD3"/>
    <w:multiLevelType w:val="hybridMultilevel"/>
    <w:tmpl w:val="8730E1F8"/>
    <w:lvl w:ilvl="0" w:tplc="DD9C53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A9154B"/>
    <w:multiLevelType w:val="hybridMultilevel"/>
    <w:tmpl w:val="2F6E1E5E"/>
    <w:lvl w:ilvl="0" w:tplc="3E047B94">
      <w:start w:val="1"/>
      <w:numFmt w:val="bullet"/>
      <w:lvlText w:val=""/>
      <w:lvlJc w:val="left"/>
      <w:pPr>
        <w:tabs>
          <w:tab w:val="num" w:pos="720"/>
        </w:tabs>
        <w:ind w:left="720" w:hanging="360"/>
      </w:pPr>
      <w:rPr>
        <w:rFonts w:ascii="Wingdings" w:hAnsi="Wingdings" w:hint="default"/>
      </w:rPr>
    </w:lvl>
    <w:lvl w:ilvl="1" w:tplc="6226DAE6" w:tentative="1">
      <w:start w:val="1"/>
      <w:numFmt w:val="bullet"/>
      <w:lvlText w:val=""/>
      <w:lvlJc w:val="left"/>
      <w:pPr>
        <w:tabs>
          <w:tab w:val="num" w:pos="1440"/>
        </w:tabs>
        <w:ind w:left="1440" w:hanging="360"/>
      </w:pPr>
      <w:rPr>
        <w:rFonts w:ascii="Wingdings" w:hAnsi="Wingdings" w:hint="default"/>
      </w:rPr>
    </w:lvl>
    <w:lvl w:ilvl="2" w:tplc="59488088" w:tentative="1">
      <w:start w:val="1"/>
      <w:numFmt w:val="bullet"/>
      <w:lvlText w:val=""/>
      <w:lvlJc w:val="left"/>
      <w:pPr>
        <w:tabs>
          <w:tab w:val="num" w:pos="2160"/>
        </w:tabs>
        <w:ind w:left="2160" w:hanging="360"/>
      </w:pPr>
      <w:rPr>
        <w:rFonts w:ascii="Wingdings" w:hAnsi="Wingdings" w:hint="default"/>
      </w:rPr>
    </w:lvl>
    <w:lvl w:ilvl="3" w:tplc="88440B46" w:tentative="1">
      <w:start w:val="1"/>
      <w:numFmt w:val="bullet"/>
      <w:lvlText w:val=""/>
      <w:lvlJc w:val="left"/>
      <w:pPr>
        <w:tabs>
          <w:tab w:val="num" w:pos="2880"/>
        </w:tabs>
        <w:ind w:left="2880" w:hanging="360"/>
      </w:pPr>
      <w:rPr>
        <w:rFonts w:ascii="Wingdings" w:hAnsi="Wingdings" w:hint="default"/>
      </w:rPr>
    </w:lvl>
    <w:lvl w:ilvl="4" w:tplc="DF92720C" w:tentative="1">
      <w:start w:val="1"/>
      <w:numFmt w:val="bullet"/>
      <w:lvlText w:val=""/>
      <w:lvlJc w:val="left"/>
      <w:pPr>
        <w:tabs>
          <w:tab w:val="num" w:pos="3600"/>
        </w:tabs>
        <w:ind w:left="3600" w:hanging="360"/>
      </w:pPr>
      <w:rPr>
        <w:rFonts w:ascii="Wingdings" w:hAnsi="Wingdings" w:hint="default"/>
      </w:rPr>
    </w:lvl>
    <w:lvl w:ilvl="5" w:tplc="9E1E6F22" w:tentative="1">
      <w:start w:val="1"/>
      <w:numFmt w:val="bullet"/>
      <w:lvlText w:val=""/>
      <w:lvlJc w:val="left"/>
      <w:pPr>
        <w:tabs>
          <w:tab w:val="num" w:pos="4320"/>
        </w:tabs>
        <w:ind w:left="4320" w:hanging="360"/>
      </w:pPr>
      <w:rPr>
        <w:rFonts w:ascii="Wingdings" w:hAnsi="Wingdings" w:hint="default"/>
      </w:rPr>
    </w:lvl>
    <w:lvl w:ilvl="6" w:tplc="04B87758" w:tentative="1">
      <w:start w:val="1"/>
      <w:numFmt w:val="bullet"/>
      <w:lvlText w:val=""/>
      <w:lvlJc w:val="left"/>
      <w:pPr>
        <w:tabs>
          <w:tab w:val="num" w:pos="5040"/>
        </w:tabs>
        <w:ind w:left="5040" w:hanging="360"/>
      </w:pPr>
      <w:rPr>
        <w:rFonts w:ascii="Wingdings" w:hAnsi="Wingdings" w:hint="default"/>
      </w:rPr>
    </w:lvl>
    <w:lvl w:ilvl="7" w:tplc="CB760180" w:tentative="1">
      <w:start w:val="1"/>
      <w:numFmt w:val="bullet"/>
      <w:lvlText w:val=""/>
      <w:lvlJc w:val="left"/>
      <w:pPr>
        <w:tabs>
          <w:tab w:val="num" w:pos="5760"/>
        </w:tabs>
        <w:ind w:left="5760" w:hanging="360"/>
      </w:pPr>
      <w:rPr>
        <w:rFonts w:ascii="Wingdings" w:hAnsi="Wingdings" w:hint="default"/>
      </w:rPr>
    </w:lvl>
    <w:lvl w:ilvl="8" w:tplc="02AA7F9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010404"/>
    <w:multiLevelType w:val="hybridMultilevel"/>
    <w:tmpl w:val="8A4644CE"/>
    <w:lvl w:ilvl="0" w:tplc="B2CCB09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9F95E5D"/>
    <w:multiLevelType w:val="hybridMultilevel"/>
    <w:tmpl w:val="9EFA5FE4"/>
    <w:lvl w:ilvl="0" w:tplc="B2CCB09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2F57B5"/>
    <w:multiLevelType w:val="hybridMultilevel"/>
    <w:tmpl w:val="044403EA"/>
    <w:lvl w:ilvl="0" w:tplc="B2CCB09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B0D6C87"/>
    <w:multiLevelType w:val="hybridMultilevel"/>
    <w:tmpl w:val="A69A090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2CC15C7"/>
    <w:multiLevelType w:val="hybridMultilevel"/>
    <w:tmpl w:val="38C67C3C"/>
    <w:lvl w:ilvl="0" w:tplc="53CE98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AED17C6"/>
    <w:multiLevelType w:val="hybridMultilevel"/>
    <w:tmpl w:val="68306B82"/>
    <w:lvl w:ilvl="0" w:tplc="F5DA65C8">
      <w:start w:val="1"/>
      <w:numFmt w:val="bullet"/>
      <w:lvlText w:val=""/>
      <w:lvlJc w:val="left"/>
      <w:pPr>
        <w:tabs>
          <w:tab w:val="num" w:pos="720"/>
        </w:tabs>
        <w:ind w:left="720" w:hanging="360"/>
      </w:pPr>
      <w:rPr>
        <w:rFonts w:ascii="Wingdings" w:hAnsi="Wingdings" w:hint="default"/>
      </w:rPr>
    </w:lvl>
    <w:lvl w:ilvl="1" w:tplc="0D783436" w:tentative="1">
      <w:start w:val="1"/>
      <w:numFmt w:val="bullet"/>
      <w:lvlText w:val=""/>
      <w:lvlJc w:val="left"/>
      <w:pPr>
        <w:tabs>
          <w:tab w:val="num" w:pos="1440"/>
        </w:tabs>
        <w:ind w:left="1440" w:hanging="360"/>
      </w:pPr>
      <w:rPr>
        <w:rFonts w:ascii="Wingdings" w:hAnsi="Wingdings" w:hint="default"/>
      </w:rPr>
    </w:lvl>
    <w:lvl w:ilvl="2" w:tplc="8ABE00A2" w:tentative="1">
      <w:start w:val="1"/>
      <w:numFmt w:val="bullet"/>
      <w:lvlText w:val=""/>
      <w:lvlJc w:val="left"/>
      <w:pPr>
        <w:tabs>
          <w:tab w:val="num" w:pos="2160"/>
        </w:tabs>
        <w:ind w:left="2160" w:hanging="360"/>
      </w:pPr>
      <w:rPr>
        <w:rFonts w:ascii="Wingdings" w:hAnsi="Wingdings" w:hint="default"/>
      </w:rPr>
    </w:lvl>
    <w:lvl w:ilvl="3" w:tplc="A9408F78" w:tentative="1">
      <w:start w:val="1"/>
      <w:numFmt w:val="bullet"/>
      <w:lvlText w:val=""/>
      <w:lvlJc w:val="left"/>
      <w:pPr>
        <w:tabs>
          <w:tab w:val="num" w:pos="2880"/>
        </w:tabs>
        <w:ind w:left="2880" w:hanging="360"/>
      </w:pPr>
      <w:rPr>
        <w:rFonts w:ascii="Wingdings" w:hAnsi="Wingdings" w:hint="default"/>
      </w:rPr>
    </w:lvl>
    <w:lvl w:ilvl="4" w:tplc="549E93D4" w:tentative="1">
      <w:start w:val="1"/>
      <w:numFmt w:val="bullet"/>
      <w:lvlText w:val=""/>
      <w:lvlJc w:val="left"/>
      <w:pPr>
        <w:tabs>
          <w:tab w:val="num" w:pos="3600"/>
        </w:tabs>
        <w:ind w:left="3600" w:hanging="360"/>
      </w:pPr>
      <w:rPr>
        <w:rFonts w:ascii="Wingdings" w:hAnsi="Wingdings" w:hint="default"/>
      </w:rPr>
    </w:lvl>
    <w:lvl w:ilvl="5" w:tplc="90F0D484" w:tentative="1">
      <w:start w:val="1"/>
      <w:numFmt w:val="bullet"/>
      <w:lvlText w:val=""/>
      <w:lvlJc w:val="left"/>
      <w:pPr>
        <w:tabs>
          <w:tab w:val="num" w:pos="4320"/>
        </w:tabs>
        <w:ind w:left="4320" w:hanging="360"/>
      </w:pPr>
      <w:rPr>
        <w:rFonts w:ascii="Wingdings" w:hAnsi="Wingdings" w:hint="default"/>
      </w:rPr>
    </w:lvl>
    <w:lvl w:ilvl="6" w:tplc="891EEA22" w:tentative="1">
      <w:start w:val="1"/>
      <w:numFmt w:val="bullet"/>
      <w:lvlText w:val=""/>
      <w:lvlJc w:val="left"/>
      <w:pPr>
        <w:tabs>
          <w:tab w:val="num" w:pos="5040"/>
        </w:tabs>
        <w:ind w:left="5040" w:hanging="360"/>
      </w:pPr>
      <w:rPr>
        <w:rFonts w:ascii="Wingdings" w:hAnsi="Wingdings" w:hint="default"/>
      </w:rPr>
    </w:lvl>
    <w:lvl w:ilvl="7" w:tplc="DD1646DE" w:tentative="1">
      <w:start w:val="1"/>
      <w:numFmt w:val="bullet"/>
      <w:lvlText w:val=""/>
      <w:lvlJc w:val="left"/>
      <w:pPr>
        <w:tabs>
          <w:tab w:val="num" w:pos="5760"/>
        </w:tabs>
        <w:ind w:left="5760" w:hanging="360"/>
      </w:pPr>
      <w:rPr>
        <w:rFonts w:ascii="Wingdings" w:hAnsi="Wingdings" w:hint="default"/>
      </w:rPr>
    </w:lvl>
    <w:lvl w:ilvl="8" w:tplc="1D76931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FB10A1F"/>
    <w:multiLevelType w:val="hybridMultilevel"/>
    <w:tmpl w:val="CEB81F70"/>
    <w:lvl w:ilvl="0" w:tplc="1E26135A">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9"/>
  </w:num>
  <w:num w:numId="3">
    <w:abstractNumId w:val="1"/>
  </w:num>
  <w:num w:numId="4">
    <w:abstractNumId w:val="8"/>
  </w:num>
  <w:num w:numId="5">
    <w:abstractNumId w:val="2"/>
  </w:num>
  <w:num w:numId="6">
    <w:abstractNumId w:val="10"/>
  </w:num>
  <w:num w:numId="7">
    <w:abstractNumId w:val="7"/>
  </w:num>
  <w:num w:numId="8">
    <w:abstractNumId w:val="0"/>
  </w:num>
  <w:num w:numId="9">
    <w:abstractNumId w:val="4"/>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3E3"/>
    <w:rsid w:val="000513D6"/>
    <w:rsid w:val="00054C8F"/>
    <w:rsid w:val="000563BE"/>
    <w:rsid w:val="00063B78"/>
    <w:rsid w:val="00066221"/>
    <w:rsid w:val="0006629C"/>
    <w:rsid w:val="00066BEB"/>
    <w:rsid w:val="000D1E1C"/>
    <w:rsid w:val="000D5B40"/>
    <w:rsid w:val="000D6E04"/>
    <w:rsid w:val="000E685E"/>
    <w:rsid w:val="001024FD"/>
    <w:rsid w:val="001139A0"/>
    <w:rsid w:val="00140CDC"/>
    <w:rsid w:val="00157F3F"/>
    <w:rsid w:val="00190BA3"/>
    <w:rsid w:val="001A285F"/>
    <w:rsid w:val="001E0BFE"/>
    <w:rsid w:val="001F4CC3"/>
    <w:rsid w:val="00211FA3"/>
    <w:rsid w:val="00215DD8"/>
    <w:rsid w:val="00225C24"/>
    <w:rsid w:val="00234FC3"/>
    <w:rsid w:val="00242C83"/>
    <w:rsid w:val="00270CC1"/>
    <w:rsid w:val="00281309"/>
    <w:rsid w:val="00285692"/>
    <w:rsid w:val="00296865"/>
    <w:rsid w:val="00297826"/>
    <w:rsid w:val="002B3EB5"/>
    <w:rsid w:val="002C3CD8"/>
    <w:rsid w:val="002C7A52"/>
    <w:rsid w:val="002F4826"/>
    <w:rsid w:val="00306C5B"/>
    <w:rsid w:val="0033432B"/>
    <w:rsid w:val="00350193"/>
    <w:rsid w:val="00373A48"/>
    <w:rsid w:val="003B6932"/>
    <w:rsid w:val="003F61ED"/>
    <w:rsid w:val="00406924"/>
    <w:rsid w:val="00412185"/>
    <w:rsid w:val="00413021"/>
    <w:rsid w:val="00415E23"/>
    <w:rsid w:val="00422639"/>
    <w:rsid w:val="00423AEC"/>
    <w:rsid w:val="00446EB0"/>
    <w:rsid w:val="00451477"/>
    <w:rsid w:val="004533C8"/>
    <w:rsid w:val="0046454F"/>
    <w:rsid w:val="0047248A"/>
    <w:rsid w:val="0048715A"/>
    <w:rsid w:val="004A4E06"/>
    <w:rsid w:val="005008EC"/>
    <w:rsid w:val="00512605"/>
    <w:rsid w:val="00525178"/>
    <w:rsid w:val="00533A8B"/>
    <w:rsid w:val="0054423A"/>
    <w:rsid w:val="00560B26"/>
    <w:rsid w:val="005908AA"/>
    <w:rsid w:val="00596681"/>
    <w:rsid w:val="005C4357"/>
    <w:rsid w:val="005D0211"/>
    <w:rsid w:val="005D4ED0"/>
    <w:rsid w:val="00607D48"/>
    <w:rsid w:val="006339BD"/>
    <w:rsid w:val="006417AE"/>
    <w:rsid w:val="00654DEB"/>
    <w:rsid w:val="00661783"/>
    <w:rsid w:val="00666D60"/>
    <w:rsid w:val="006847DA"/>
    <w:rsid w:val="0068553E"/>
    <w:rsid w:val="006A1BFD"/>
    <w:rsid w:val="006D0529"/>
    <w:rsid w:val="006F6886"/>
    <w:rsid w:val="007026E7"/>
    <w:rsid w:val="00704A9A"/>
    <w:rsid w:val="00705E17"/>
    <w:rsid w:val="00711559"/>
    <w:rsid w:val="00713FF0"/>
    <w:rsid w:val="00734348"/>
    <w:rsid w:val="00750DC7"/>
    <w:rsid w:val="00786683"/>
    <w:rsid w:val="00814F85"/>
    <w:rsid w:val="008568E3"/>
    <w:rsid w:val="00866E28"/>
    <w:rsid w:val="00873BE4"/>
    <w:rsid w:val="00882355"/>
    <w:rsid w:val="008A3326"/>
    <w:rsid w:val="008A4848"/>
    <w:rsid w:val="008A6379"/>
    <w:rsid w:val="009267E4"/>
    <w:rsid w:val="00944789"/>
    <w:rsid w:val="00950A5E"/>
    <w:rsid w:val="00951C2B"/>
    <w:rsid w:val="00960D88"/>
    <w:rsid w:val="0098513A"/>
    <w:rsid w:val="00985807"/>
    <w:rsid w:val="00986469"/>
    <w:rsid w:val="00994A62"/>
    <w:rsid w:val="009C1645"/>
    <w:rsid w:val="009F00E8"/>
    <w:rsid w:val="009F2EA8"/>
    <w:rsid w:val="00A31C3E"/>
    <w:rsid w:val="00A46462"/>
    <w:rsid w:val="00A57F11"/>
    <w:rsid w:val="00A9173F"/>
    <w:rsid w:val="00AD4180"/>
    <w:rsid w:val="00AF6939"/>
    <w:rsid w:val="00B61D47"/>
    <w:rsid w:val="00B6313A"/>
    <w:rsid w:val="00B7236F"/>
    <w:rsid w:val="00B76C62"/>
    <w:rsid w:val="00B96FF4"/>
    <w:rsid w:val="00BA6E47"/>
    <w:rsid w:val="00BC078C"/>
    <w:rsid w:val="00BF243E"/>
    <w:rsid w:val="00C40EBA"/>
    <w:rsid w:val="00C5255D"/>
    <w:rsid w:val="00C743E3"/>
    <w:rsid w:val="00C7622B"/>
    <w:rsid w:val="00CA2B10"/>
    <w:rsid w:val="00CB7750"/>
    <w:rsid w:val="00D05AA6"/>
    <w:rsid w:val="00D06049"/>
    <w:rsid w:val="00D0654A"/>
    <w:rsid w:val="00D11209"/>
    <w:rsid w:val="00D2419D"/>
    <w:rsid w:val="00D2431A"/>
    <w:rsid w:val="00D32887"/>
    <w:rsid w:val="00D479A6"/>
    <w:rsid w:val="00DA3B18"/>
    <w:rsid w:val="00DF31C8"/>
    <w:rsid w:val="00E04628"/>
    <w:rsid w:val="00E601E4"/>
    <w:rsid w:val="00E728C9"/>
    <w:rsid w:val="00EC3138"/>
    <w:rsid w:val="00EC406C"/>
    <w:rsid w:val="00F11FA8"/>
    <w:rsid w:val="00F13D91"/>
    <w:rsid w:val="00F15205"/>
    <w:rsid w:val="00F352D6"/>
    <w:rsid w:val="00F46EF6"/>
    <w:rsid w:val="00F91B3A"/>
    <w:rsid w:val="00FA4CC3"/>
    <w:rsid w:val="00FC2FB7"/>
    <w:rsid w:val="00FD0DF3"/>
    <w:rsid w:val="00FF1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C5F4F0D"/>
  <w15:docId w15:val="{22E8FCCF-4005-4E2C-A324-5080E7D73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4C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352D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F352D6"/>
    <w:pPr>
      <w:widowControl/>
      <w:ind w:leftChars="400" w:left="840"/>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C5255D"/>
    <w:pPr>
      <w:tabs>
        <w:tab w:val="center" w:pos="4252"/>
        <w:tab w:val="right" w:pos="8504"/>
      </w:tabs>
      <w:snapToGrid w:val="0"/>
    </w:pPr>
  </w:style>
  <w:style w:type="character" w:customStyle="1" w:styleId="a5">
    <w:name w:val="ヘッダー (文字)"/>
    <w:basedOn w:val="a0"/>
    <w:link w:val="a4"/>
    <w:uiPriority w:val="99"/>
    <w:rsid w:val="00C5255D"/>
  </w:style>
  <w:style w:type="paragraph" w:styleId="a6">
    <w:name w:val="footer"/>
    <w:basedOn w:val="a"/>
    <w:link w:val="a7"/>
    <w:uiPriority w:val="99"/>
    <w:unhideWhenUsed/>
    <w:rsid w:val="00C5255D"/>
    <w:pPr>
      <w:tabs>
        <w:tab w:val="center" w:pos="4252"/>
        <w:tab w:val="right" w:pos="8504"/>
      </w:tabs>
      <w:snapToGrid w:val="0"/>
    </w:pPr>
  </w:style>
  <w:style w:type="character" w:customStyle="1" w:styleId="a7">
    <w:name w:val="フッター (文字)"/>
    <w:basedOn w:val="a0"/>
    <w:link w:val="a6"/>
    <w:uiPriority w:val="99"/>
    <w:rsid w:val="00C5255D"/>
  </w:style>
  <w:style w:type="table" w:styleId="a8">
    <w:name w:val="Table Grid"/>
    <w:basedOn w:val="a1"/>
    <w:uiPriority w:val="59"/>
    <w:rsid w:val="00422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A4E0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A4E06"/>
    <w:rPr>
      <w:rFonts w:asciiTheme="majorHAnsi" w:eastAsiaTheme="majorEastAsia" w:hAnsiTheme="majorHAnsi" w:cstheme="majorBidi"/>
      <w:sz w:val="18"/>
      <w:szCs w:val="18"/>
    </w:rPr>
  </w:style>
  <w:style w:type="paragraph" w:styleId="ab">
    <w:name w:val="Closing"/>
    <w:basedOn w:val="a"/>
    <w:link w:val="ac"/>
    <w:uiPriority w:val="99"/>
    <w:unhideWhenUsed/>
    <w:rsid w:val="00873BE4"/>
    <w:pPr>
      <w:jc w:val="right"/>
    </w:pPr>
    <w:rPr>
      <w:rFonts w:asciiTheme="majorEastAsia" w:eastAsiaTheme="majorEastAsia" w:hAnsiTheme="majorEastAsia" w:cs="Meiryo UI"/>
      <w:noProof/>
      <w:sz w:val="24"/>
    </w:rPr>
  </w:style>
  <w:style w:type="character" w:customStyle="1" w:styleId="ac">
    <w:name w:val="結語 (文字)"/>
    <w:basedOn w:val="a0"/>
    <w:link w:val="ab"/>
    <w:uiPriority w:val="99"/>
    <w:rsid w:val="00873BE4"/>
    <w:rPr>
      <w:rFonts w:asciiTheme="majorEastAsia" w:eastAsiaTheme="majorEastAsia" w:hAnsiTheme="majorEastAsia" w:cs="Meiryo UI"/>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431611">
      <w:bodyDiv w:val="1"/>
      <w:marLeft w:val="0"/>
      <w:marRight w:val="0"/>
      <w:marTop w:val="0"/>
      <w:marBottom w:val="0"/>
      <w:divBdr>
        <w:top w:val="none" w:sz="0" w:space="0" w:color="auto"/>
        <w:left w:val="none" w:sz="0" w:space="0" w:color="auto"/>
        <w:bottom w:val="none" w:sz="0" w:space="0" w:color="auto"/>
        <w:right w:val="none" w:sz="0" w:space="0" w:color="auto"/>
      </w:divBdr>
    </w:div>
    <w:div w:id="1591742413">
      <w:bodyDiv w:val="1"/>
      <w:marLeft w:val="0"/>
      <w:marRight w:val="0"/>
      <w:marTop w:val="0"/>
      <w:marBottom w:val="0"/>
      <w:divBdr>
        <w:top w:val="none" w:sz="0" w:space="0" w:color="auto"/>
        <w:left w:val="none" w:sz="0" w:space="0" w:color="auto"/>
        <w:bottom w:val="none" w:sz="0" w:space="0" w:color="auto"/>
        <w:right w:val="none" w:sz="0" w:space="0" w:color="auto"/>
      </w:divBdr>
    </w:div>
    <w:div w:id="1828201044">
      <w:bodyDiv w:val="1"/>
      <w:marLeft w:val="0"/>
      <w:marRight w:val="0"/>
      <w:marTop w:val="0"/>
      <w:marBottom w:val="0"/>
      <w:divBdr>
        <w:top w:val="none" w:sz="0" w:space="0" w:color="auto"/>
        <w:left w:val="none" w:sz="0" w:space="0" w:color="auto"/>
        <w:bottom w:val="none" w:sz="0" w:space="0" w:color="auto"/>
        <w:right w:val="none" w:sz="0" w:space="0" w:color="auto"/>
      </w:divBdr>
    </w:div>
    <w:div w:id="194885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10AA8-401D-4744-A2E9-E8812BFEA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308</Words>
  <Characters>1760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農林中央金庫</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農林中央金庫</dc:creator>
  <cp:lastModifiedBy>kinyu05</cp:lastModifiedBy>
  <cp:revision>2</cp:revision>
  <cp:lastPrinted>2019-03-04T01:48:00Z</cp:lastPrinted>
  <dcterms:created xsi:type="dcterms:W3CDTF">2022-09-08T07:47:00Z</dcterms:created>
  <dcterms:modified xsi:type="dcterms:W3CDTF">2022-09-08T07:47:00Z</dcterms:modified>
</cp:coreProperties>
</file>